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r>
        <w:rPr>
          <w:rFonts w:hint="eastAsia"/>
        </w:rPr>
        <w:t>新点投标文件制作软件（</w:t>
      </w:r>
      <w:r>
        <w:rPr>
          <w:rFonts w:hint="eastAsia"/>
          <w:lang w:val="en-US" w:eastAsia="zh-CN"/>
        </w:rPr>
        <w:t>苍南</w:t>
      </w:r>
      <w:r>
        <w:rPr>
          <w:rFonts w:hint="eastAsia"/>
        </w:rPr>
        <w:t>版）</w:t>
      </w:r>
    </w:p>
    <w:p>
      <w:pPr>
        <w:pStyle w:val="2"/>
        <w:jc w:val="center"/>
      </w:pPr>
      <w:r>
        <w:rPr>
          <w:rFonts w:hint="eastAsia"/>
        </w:rPr>
        <w:t>操作指南</w:t>
      </w:r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安装投标文件制作工具</w:t>
      </w:r>
    </w:p>
    <w:p>
      <w:pPr>
        <w:ind w:left="420"/>
      </w:pPr>
      <w:r>
        <w:rPr>
          <w:rFonts w:hint="eastAsia"/>
        </w:rPr>
        <w:t>将应用程序（浏览器，office等）全部关闭，杀毒软件退出，不插锁时按照系统提示进行安装。</w:t>
      </w:r>
    </w:p>
    <w:p>
      <w:pPr>
        <w:ind w:left="420"/>
      </w:pPr>
      <w:r>
        <w:rPr>
          <w:rFonts w:hint="eastAsia"/>
        </w:rPr>
        <w:t>快速安装后选择下一步按照提示安装。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499735" cy="4166870"/>
            <wp:effectExtent l="0" t="0" r="1905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制作投标文件</w:t>
      </w:r>
    </w:p>
    <w:p>
      <w:pPr>
        <w:pStyle w:val="11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新建投标文件工程文件。</w:t>
      </w:r>
    </w:p>
    <w:p>
      <w:pPr>
        <w:ind w:left="420"/>
        <w:rPr>
          <w:rFonts w:hint="eastAsia"/>
        </w:rPr>
      </w:pPr>
      <w:r>
        <w:rPr>
          <w:rFonts w:hint="eastAsia"/>
        </w:rPr>
        <w:t>点击【新建工程】，点击浏览选择招标/答疑文件导入，浏览保存路径后点击确定。</w:t>
      </w:r>
    </w:p>
    <w:p>
      <w:r>
        <w:drawing>
          <wp:inline distT="0" distB="0" distL="114300" distR="114300">
            <wp:extent cx="5266055" cy="2773045"/>
            <wp:effectExtent l="0" t="0" r="1079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78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浏览招标文件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在左侧浏览招标文件菜单里可以查看招标文件正文、评标办法、工程量清单等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9865" cy="3205480"/>
            <wp:effectExtent l="0" t="0" r="6985" b="139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78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资格后审文件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在资格后审文件菜单里，将每个节点里的默认文档导出，进行编辑以后再重新导入。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1770" cy="3209925"/>
            <wp:effectExtent l="0" t="0" r="5080" b="952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78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商务标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商务标封面：将商务标封面按上述方法导出再导入进去。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投标函：按照实际情况在页面上填写工期、报价、保证金等。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注：工期、保证金需要填写上正确的单位，比如90日历天，切勿只填写90这个数字。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工程量清单：导入清单封面和总说明文件，点击新增工程量清单，将做好的清单文件导入进去，然后再生成工程量清单。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7960" cy="2435860"/>
            <wp:effectExtent l="0" t="0" r="8890" b="254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78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技术标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技术标封面：导入技术标封面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施工组织设计：先点击导入技术标，将做好的技术标文件导入进去。然后再将正文内容里标红的节点右键，跟文档当前页进行对应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6055" cy="2431415"/>
            <wp:effectExtent l="0" t="0" r="10795" b="698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注：若施工组织设计里横向的图片超出了大小范围导致部分不可见，可以将横向的图片旋转一下竖放。</w:t>
      </w:r>
    </w:p>
    <w:p>
      <w:pPr>
        <w:numPr>
          <w:ilvl w:val="0"/>
          <w:numId w:val="2"/>
        </w:numPr>
        <w:ind w:left="78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生成投标文件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按照批量转换-标书签章-预览标书-生成标书的顺序逐步操作即可。最终会生成加密和未加密的两份文件，在交易系统内上传加密的投标文件。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553335"/>
            <wp:effectExtent l="0" t="0" r="12065" b="1841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bCs/>
          <w:color w:val="FF0000"/>
          <w:lang w:val="en-US" w:eastAsia="zh-CN"/>
        </w:rPr>
      </w:pPr>
    </w:p>
    <w:p/>
    <w:p/>
    <w:p/>
    <w:p/>
    <w:p/>
    <w:p/>
    <w:p/>
    <w:p/>
    <w:p/>
    <w:p/>
    <w:p/>
    <w:p/>
    <w:p/>
    <w:p/>
    <w:p/>
    <w:p/>
    <w:p>
      <w:pPr>
        <w:pStyle w:val="7"/>
        <w:numPr>
          <w:ilvl w:val="0"/>
          <w:numId w:val="3"/>
        </w:numPr>
        <w:jc w:val="left"/>
        <w:rPr>
          <w:rFonts w:hint="eastAsia"/>
        </w:rPr>
      </w:pPr>
      <w:r>
        <w:rPr>
          <w:rFonts w:hint="eastAsia"/>
        </w:rPr>
        <w:t>招标清单导出</w:t>
      </w:r>
      <w:bookmarkStart w:id="0" w:name="_bookmark1"/>
      <w:bookmarkEnd w:id="0"/>
      <w:bookmarkStart w:id="1" w:name="1.招标清单导入"/>
      <w:bookmarkEnd w:id="1"/>
    </w:p>
    <w:p>
      <w:pPr>
        <w:pStyle w:val="11"/>
        <w:tabs>
          <w:tab w:val="left" w:pos="539"/>
          <w:tab w:val="left" w:pos="540"/>
        </w:tabs>
        <w:ind w:left="120" w:firstLine="480"/>
      </w:pPr>
      <w:r>
        <w:rPr>
          <w:rFonts w:hint="eastAsia"/>
          <w:sz w:val="24"/>
          <w:lang w:val="en-US"/>
        </w:rPr>
        <w:t>打开投标文件制作工具（湖州版），点击左上角新建工程，将后缀为.</w:t>
      </w:r>
      <w:r>
        <w:rPr>
          <w:rFonts w:hint="eastAsia"/>
          <w:sz w:val="24"/>
          <w:lang w:val="en-US" w:eastAsia="zh-CN"/>
        </w:rPr>
        <w:t>CN</w:t>
      </w:r>
      <w:r>
        <w:rPr>
          <w:rFonts w:hint="eastAsia"/>
          <w:sz w:val="24"/>
          <w:lang w:val="en-US"/>
        </w:rPr>
        <w:t>ZF的招标文件或后缀为.</w:t>
      </w:r>
      <w:r>
        <w:rPr>
          <w:rFonts w:hint="eastAsia"/>
          <w:sz w:val="24"/>
          <w:lang w:val="en-US" w:eastAsia="zh-CN"/>
        </w:rPr>
        <w:t>CN</w:t>
      </w:r>
      <w:r>
        <w:rPr>
          <w:rFonts w:hint="eastAsia"/>
          <w:sz w:val="24"/>
          <w:lang w:val="en-US"/>
        </w:rPr>
        <w:t>CF的澄清文件接收进投标工具中，点击导出工程量清单，即可导出后缀为..</w:t>
      </w:r>
      <w:r>
        <w:rPr>
          <w:rFonts w:hint="eastAsia"/>
          <w:sz w:val="24"/>
          <w:lang w:val="en-US" w:eastAsia="zh-CN"/>
        </w:rPr>
        <w:t>CNZBX</w:t>
      </w:r>
      <w:r>
        <w:rPr>
          <w:rFonts w:hint="eastAsia"/>
          <w:sz w:val="24"/>
          <w:lang w:val="en-US"/>
        </w:rPr>
        <w:t>的招标清单。</w:t>
      </w:r>
    </w:p>
    <w:p>
      <w:pPr>
        <w:pStyle w:val="11"/>
        <w:tabs>
          <w:tab w:val="left" w:pos="539"/>
          <w:tab w:val="left" w:pos="540"/>
        </w:tabs>
        <w:ind w:left="0" w:firstLine="0"/>
      </w:pPr>
      <w:r>
        <w:drawing>
          <wp:inline distT="0" distB="0" distL="114300" distR="114300">
            <wp:extent cx="5488305" cy="1483995"/>
            <wp:effectExtent l="0" t="0" r="133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tabs>
          <w:tab w:val="left" w:pos="539"/>
          <w:tab w:val="left" w:pos="540"/>
        </w:tabs>
        <w:ind w:left="0" w:firstLine="0"/>
        <w:rPr>
          <w:lang w:val="en-US"/>
        </w:rPr>
      </w:pPr>
      <w:r>
        <w:drawing>
          <wp:inline distT="0" distB="0" distL="114300" distR="114300">
            <wp:extent cx="1704975" cy="1314450"/>
            <wp:effectExtent l="0" t="0" r="190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jc w:val="left"/>
      </w:pPr>
      <w:r>
        <w:rPr>
          <w:rFonts w:hint="eastAsia"/>
        </w:rPr>
        <w:t>新点清单造价浙江版</w:t>
      </w:r>
      <w:r>
        <w:t>10.3</w:t>
      </w:r>
    </w:p>
    <w:p>
      <w:pPr>
        <w:pStyle w:val="3"/>
        <w:rPr>
          <w:rFonts w:eastAsiaTheme="minorEastAsia"/>
        </w:rPr>
      </w:pPr>
      <w:r>
        <w:rPr>
          <w:rFonts w:hint="eastAsia" w:ascii="宋体" w:hAnsi="宋体" w:eastAsia="宋体" w:cs="宋体"/>
        </w:rPr>
        <w:t>2</w:t>
      </w:r>
      <w:r>
        <w:rPr>
          <w:rFonts w:ascii="宋体" w:hAnsi="宋体" w:eastAsia="宋体" w:cs="宋体"/>
        </w:rPr>
        <w:t>.1</w:t>
      </w:r>
      <w:r>
        <w:rPr>
          <w:rFonts w:hint="eastAsia" w:ascii="宋体" w:hAnsi="宋体" w:eastAsia="宋体" w:cs="宋体"/>
        </w:rPr>
        <w:t>招标清单导入</w:t>
      </w:r>
    </w:p>
    <w:p>
      <w:pPr>
        <w:pStyle w:val="5"/>
        <w:spacing w:before="160" w:line="364" w:lineRule="auto"/>
        <w:ind w:left="120" w:right="237" w:firstLine="480"/>
        <w:rPr>
          <w:rFonts w:ascii="宋体" w:eastAsia="宋体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4189095</wp:posOffset>
            </wp:positionH>
            <wp:positionV relativeFrom="paragraph">
              <wp:posOffset>-850900</wp:posOffset>
            </wp:positionV>
            <wp:extent cx="1314450" cy="1457325"/>
            <wp:effectExtent l="0" t="0" r="11430" b="5715"/>
            <wp:wrapSquare wrapText="bothSides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eastAsia="宋体"/>
          <w:spacing w:val="-7"/>
        </w:rPr>
        <w:t>使用造价软件编制投标清单的时候，首先需要将招标清单接收到造价软件中</w:t>
      </w:r>
      <w:r>
        <w:rPr>
          <w:rFonts w:hint="eastAsia" w:ascii="宋体" w:eastAsia="宋体"/>
        </w:rPr>
        <w:t>具体操作方法如下：</w:t>
      </w:r>
    </w:p>
    <w:p>
      <w:pPr>
        <w:pStyle w:val="11"/>
        <w:tabs>
          <w:tab w:val="left" w:pos="965"/>
        </w:tabs>
        <w:spacing w:before="2" w:after="19" w:line="364" w:lineRule="auto"/>
        <w:ind w:left="600" w:right="223" w:firstLine="0"/>
        <w:jc w:val="both"/>
        <w:rPr>
          <w:rFonts w:ascii="Calibri" w:hAnsi="Calibri" w:eastAsia="Calibri"/>
          <w:sz w:val="24"/>
        </w:rPr>
      </w:pPr>
      <w:r>
        <w:rPr>
          <w:spacing w:val="-3"/>
          <w:sz w:val="24"/>
        </w:rPr>
        <w:t>1.打开</w:t>
      </w:r>
      <w:r>
        <w:rPr>
          <w:rFonts w:hint="eastAsia"/>
          <w:b/>
          <w:bCs/>
          <w:color w:val="FF0000"/>
          <w:spacing w:val="-3"/>
          <w:sz w:val="24"/>
          <w:lang w:val="en-US"/>
        </w:rPr>
        <w:t>新点清单造价浙江版10.3</w:t>
      </w:r>
      <w:r>
        <w:rPr>
          <w:spacing w:val="-3"/>
          <w:sz w:val="24"/>
        </w:rPr>
        <w:t>，</w:t>
      </w:r>
      <w:r>
        <w:rPr>
          <w:rFonts w:hint="eastAsia"/>
          <w:spacing w:val="-3"/>
          <w:sz w:val="24"/>
          <w:lang w:val="en-US"/>
        </w:rPr>
        <w:t>弹出</w:t>
      </w:r>
      <w:r>
        <w:rPr>
          <w:b/>
          <w:spacing w:val="-2"/>
          <w:sz w:val="24"/>
        </w:rPr>
        <w:t>“操作首页”</w:t>
      </w:r>
      <w:r>
        <w:rPr>
          <w:rFonts w:hint="eastAsia"/>
          <w:b/>
          <w:spacing w:val="-2"/>
          <w:sz w:val="24"/>
          <w:lang w:val="en-US"/>
        </w:rPr>
        <w:t>后</w:t>
      </w:r>
      <w:r>
        <w:rPr>
          <w:spacing w:val="-5"/>
          <w:sz w:val="24"/>
        </w:rPr>
        <w:t>，选择“</w:t>
      </w:r>
      <w:r>
        <w:rPr>
          <w:b/>
          <w:sz w:val="24"/>
        </w:rPr>
        <w:t>接收招标文件</w:t>
      </w:r>
      <w:r>
        <w:rPr>
          <w:spacing w:val="-4"/>
          <w:sz w:val="24"/>
        </w:rPr>
        <w:t>”</w:t>
      </w:r>
      <w:r>
        <w:rPr>
          <w:rFonts w:ascii="Calibri" w:hAnsi="Calibri" w:eastAsia="Calibri"/>
          <w:spacing w:val="-4"/>
          <w:sz w:val="24"/>
        </w:rPr>
        <w:t>,</w:t>
      </w:r>
      <w:r>
        <w:rPr>
          <w:rFonts w:hint="eastAsia" w:ascii="Calibri" w:hAnsi="Calibri"/>
          <w:spacing w:val="-4"/>
          <w:sz w:val="24"/>
          <w:lang w:val="en-US"/>
        </w:rPr>
        <w:t>选择后缀为</w:t>
      </w:r>
      <w:r>
        <w:rPr>
          <w:rFonts w:hint="eastAsia" w:ascii="Calibri" w:hAnsi="Calibri"/>
          <w:color w:val="FF0000"/>
          <w:spacing w:val="-4"/>
          <w:sz w:val="24"/>
          <w:lang w:val="en-US"/>
        </w:rPr>
        <w:t>.</w:t>
      </w:r>
      <w:r>
        <w:rPr>
          <w:rFonts w:hint="eastAsia" w:ascii="Calibri" w:hAnsi="Calibri"/>
          <w:color w:val="FF0000"/>
          <w:spacing w:val="-4"/>
          <w:sz w:val="24"/>
          <w:lang w:val="en-US" w:eastAsia="zh-CN"/>
        </w:rPr>
        <w:t>CNZBX</w:t>
      </w:r>
      <w:r>
        <w:rPr>
          <w:rFonts w:ascii="Calibri" w:hAnsi="Calibri" w:eastAsia="Calibri"/>
          <w:color w:val="FF0000"/>
          <w:spacing w:val="26"/>
          <w:sz w:val="24"/>
        </w:rPr>
        <w:t xml:space="preserve"> </w:t>
      </w:r>
      <w:r>
        <w:rPr>
          <w:color w:val="FF0000"/>
          <w:sz w:val="24"/>
        </w:rPr>
        <w:t>的招标清单</w:t>
      </w:r>
      <w:r>
        <w:rPr>
          <w:rFonts w:hint="eastAsia"/>
          <w:sz w:val="24"/>
          <w:lang w:val="en-US"/>
        </w:rPr>
        <w:t>或者是</w:t>
      </w:r>
      <w:r>
        <w:rPr>
          <w:rFonts w:hint="eastAsia"/>
          <w:color w:val="FF0000"/>
          <w:sz w:val="24"/>
          <w:lang w:val="en-US"/>
        </w:rPr>
        <w:t>.</w:t>
      </w:r>
      <w:r>
        <w:rPr>
          <w:rFonts w:hint="eastAsia"/>
          <w:color w:val="FF0000"/>
          <w:sz w:val="24"/>
          <w:lang w:val="en-US" w:eastAsia="zh-CN"/>
        </w:rPr>
        <w:t>CN</w:t>
      </w:r>
      <w:r>
        <w:rPr>
          <w:rFonts w:hint="eastAsia"/>
          <w:color w:val="FF0000"/>
          <w:sz w:val="24"/>
          <w:lang w:val="en-US"/>
        </w:rPr>
        <w:t>ZF的招标文件</w:t>
      </w:r>
      <w:r>
        <w:rPr>
          <w:rFonts w:hint="eastAsia"/>
          <w:sz w:val="24"/>
          <w:lang w:val="en-US"/>
        </w:rPr>
        <w:t>（</w:t>
      </w:r>
      <w:r>
        <w:rPr>
          <w:rFonts w:hint="eastAsia"/>
          <w:color w:val="FF0000"/>
          <w:sz w:val="24"/>
          <w:lang w:val="en-US"/>
        </w:rPr>
        <w:t>注：只可以接收招标文件或者招标清单，若项目发布了澄清文件，需要将澄清文件中的招标清单导出后再导入造价软件中。</w:t>
      </w:r>
      <w:r>
        <w:rPr>
          <w:rFonts w:hint="eastAsia"/>
          <w:sz w:val="24"/>
          <w:lang w:val="en-US"/>
        </w:rPr>
        <w:t>）</w:t>
      </w:r>
      <w:r>
        <w:rPr>
          <w:sz w:val="24"/>
        </w:rPr>
        <w:t>，软件中会显示出招标清单的三级</w:t>
      </w:r>
      <w:r>
        <w:rPr>
          <w:spacing w:val="-6"/>
          <w:sz w:val="24"/>
        </w:rPr>
        <w:t>结构和各单位工程对应的名称和专业，然后点击确定</w:t>
      </w:r>
      <w:r>
        <w:rPr>
          <w:rFonts w:hint="eastAsia"/>
          <w:spacing w:val="-6"/>
          <w:sz w:val="24"/>
        </w:rPr>
        <w:t>。</w:t>
      </w:r>
    </w:p>
    <w:p>
      <w:pPr>
        <w:pStyle w:val="5"/>
        <w:ind w:left="1092"/>
        <w:rPr>
          <w:rFonts w:ascii="Calibri"/>
          <w:sz w:val="20"/>
        </w:rPr>
      </w:pPr>
    </w:p>
    <w:p>
      <w:pPr>
        <w:pStyle w:val="5"/>
        <w:spacing w:before="7"/>
        <w:rPr>
          <w:rFonts w:ascii="Calibri"/>
          <w:sz w:val="6"/>
        </w:rPr>
      </w:pPr>
    </w:p>
    <w:p>
      <w:pPr>
        <w:rPr>
          <w:rFonts w:ascii="Calibri"/>
          <w:sz w:val="20"/>
        </w:rPr>
        <w:sectPr>
          <w:pgSz w:w="11910" w:h="16840"/>
          <w:pgMar w:top="1500" w:right="1560" w:bottom="1160" w:left="1680" w:header="0" w:footer="970" w:gutter="0"/>
          <w:cols w:space="720" w:num="1"/>
        </w:sectPr>
      </w:pPr>
      <w:r>
        <w:drawing>
          <wp:inline distT="0" distB="0" distL="114300" distR="114300">
            <wp:extent cx="5503545" cy="2937510"/>
            <wp:effectExtent l="0" t="0" r="13335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2952750</wp:posOffset>
            </wp:positionV>
            <wp:extent cx="5503545" cy="2905125"/>
            <wp:effectExtent l="0" t="0" r="13335" b="5715"/>
            <wp:wrapTopAndBottom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before="42" w:line="364" w:lineRule="auto"/>
        <w:ind w:right="182"/>
        <w:rPr>
          <w:rFonts w:ascii="宋体"/>
          <w:sz w:val="23"/>
        </w:rPr>
      </w:pPr>
      <w:r>
        <w:drawing>
          <wp:inline distT="0" distB="0" distL="114300" distR="114300">
            <wp:extent cx="5501005" cy="3929380"/>
            <wp:effectExtent l="0" t="0" r="635" b="254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eastAsia="宋体"/>
        </w:rPr>
        <w:t>点击确定之后软件会自动接收完整的招标清单并提示存盘位置</w:t>
      </w:r>
      <w:r>
        <w:rPr>
          <w:rFonts w:ascii="Calibri" w:eastAsia="Calibri"/>
        </w:rPr>
        <w:t>,</w:t>
      </w:r>
      <w:r>
        <w:rPr>
          <w:rFonts w:hint="eastAsia" w:ascii="宋体" w:eastAsia="宋体"/>
        </w:rPr>
        <w:t>把它保存在相应的位置</w:t>
      </w:r>
      <w:r>
        <w:rPr>
          <w:rFonts w:ascii="Calibri" w:eastAsia="Calibri"/>
        </w:rPr>
        <w:t>,</w:t>
      </w:r>
      <w:r>
        <w:rPr>
          <w:rFonts w:hint="eastAsia" w:ascii="宋体" w:eastAsia="宋体"/>
        </w:rPr>
        <w:t>保存完成后软件自动打开刚刚接收的工程</w:t>
      </w:r>
      <w:r>
        <w:rPr>
          <w:rFonts w:ascii="Calibri" w:eastAsia="Calibri"/>
        </w:rPr>
        <w:t>.</w:t>
      </w:r>
    </w:p>
    <w:p>
      <w:pPr>
        <w:pStyle w:val="11"/>
        <w:tabs>
          <w:tab w:val="left" w:pos="539"/>
          <w:tab w:val="left" w:pos="540"/>
        </w:tabs>
        <w:spacing w:before="0"/>
        <w:ind w:firstLine="0"/>
        <w:rPr>
          <w:sz w:val="24"/>
        </w:rPr>
      </w:pPr>
      <w:bookmarkStart w:id="2" w:name="2.投标信息完善"/>
      <w:bookmarkEnd w:id="2"/>
      <w:bookmarkStart w:id="3" w:name="_bookmark2"/>
      <w:bookmarkEnd w:id="3"/>
      <w:r>
        <w:rPr>
          <w:sz w:val="24"/>
        </w:rPr>
        <w:t>2投标信息完善</w:t>
      </w:r>
    </w:p>
    <w:p>
      <w:pPr>
        <w:pStyle w:val="5"/>
        <w:spacing w:before="84" w:line="242" w:lineRule="auto"/>
        <w:ind w:left="120" w:right="235" w:firstLine="420"/>
        <w:rPr>
          <w:rFonts w:ascii="宋体" w:hAnsi="宋体" w:eastAsia="宋体"/>
        </w:rPr>
      </w:pPr>
      <w:r>
        <w:rPr>
          <w:rFonts w:hint="eastAsia" w:ascii="宋体" w:hAnsi="宋体" w:eastAsia="宋体"/>
          <w:spacing w:val="-10"/>
        </w:rPr>
        <w:t>在成功导入</w:t>
      </w:r>
      <w:r>
        <w:rPr>
          <w:rFonts w:hint="eastAsia" w:ascii="宋体" w:hAnsi="宋体" w:eastAsia="宋体"/>
          <w:spacing w:val="-11"/>
        </w:rPr>
        <w:t>招标清单文件后，软件打开工程进入项目主界面，在项目主</w:t>
      </w:r>
      <w:r>
        <w:rPr>
          <w:rFonts w:hint="eastAsia" w:ascii="宋体" w:hAnsi="宋体" w:eastAsia="宋体"/>
        </w:rPr>
        <w:t>界面我们可以在</w:t>
      </w:r>
      <w:r>
        <w:rPr>
          <w:rFonts w:hint="eastAsia" w:ascii="宋体" w:hAnsi="宋体" w:eastAsia="宋体"/>
          <w:b/>
        </w:rPr>
        <w:t>“工程信息”</w:t>
      </w:r>
      <w:r>
        <w:rPr>
          <w:rFonts w:hint="eastAsia" w:ascii="宋体" w:hAnsi="宋体" w:eastAsia="宋体"/>
        </w:rPr>
        <w:t>中的</w:t>
      </w:r>
      <w:r>
        <w:rPr>
          <w:rFonts w:hint="eastAsia" w:ascii="宋体" w:hAnsi="宋体" w:eastAsia="宋体"/>
          <w:b/>
        </w:rPr>
        <w:t>“投标信息”</w:t>
      </w:r>
      <w:r>
        <w:rPr>
          <w:rFonts w:hint="eastAsia" w:ascii="宋体" w:hAnsi="宋体" w:eastAsia="宋体"/>
        </w:rPr>
        <w:t>中完善相应投标信息</w:t>
      </w:r>
      <w:r>
        <w:drawing>
          <wp:inline distT="0" distB="0" distL="114300" distR="114300">
            <wp:extent cx="5503545" cy="2929255"/>
            <wp:effectExtent l="0" t="0" r="13335" b="1206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rFonts w:ascii="宋体"/>
          <w:sz w:val="11"/>
        </w:rPr>
      </w:pPr>
    </w:p>
    <w:p>
      <w:pPr>
        <w:rPr>
          <w:rFonts w:ascii="宋体"/>
          <w:sz w:val="11"/>
        </w:rPr>
        <w:sectPr>
          <w:pgSz w:w="11910" w:h="16840"/>
          <w:pgMar w:top="1460" w:right="1560" w:bottom="1160" w:left="1680" w:header="0" w:footer="970" w:gutter="0"/>
          <w:cols w:space="720" w:num="1"/>
        </w:sectPr>
      </w:pPr>
    </w:p>
    <w:p>
      <w:pPr>
        <w:pStyle w:val="3"/>
        <w:rPr>
          <w:lang w:val="en-US"/>
        </w:rPr>
      </w:pPr>
      <w:bookmarkStart w:id="4" w:name="_Toc22518"/>
      <w:r>
        <w:rPr>
          <w:rFonts w:hint="eastAsia"/>
          <w:lang w:val="en-US"/>
        </w:rPr>
        <w:t>2</w:t>
      </w:r>
      <w:r>
        <w:rPr>
          <w:lang w:val="en-US"/>
        </w:rPr>
        <w:t>.2</w:t>
      </w:r>
      <w:r>
        <w:rPr>
          <w:rFonts w:hint="eastAsia" w:ascii="宋体" w:hAnsi="宋体" w:eastAsia="宋体" w:cs="宋体"/>
          <w:lang w:val="en-US"/>
        </w:rPr>
        <w:t>取费设置</w:t>
      </w:r>
      <w:bookmarkEnd w:id="4"/>
    </w:p>
    <w:p>
      <w:pPr>
        <w:rPr>
          <w:lang w:val="en-US"/>
        </w:rPr>
      </w:pPr>
      <w:r>
        <w:rPr>
          <w:rFonts w:hint="eastAsia"/>
          <w:lang w:val="en-US"/>
        </w:rPr>
        <w:t>1</w:t>
      </w:r>
      <w:r>
        <w:rPr>
          <w:rFonts w:hint="eastAsia" w:ascii="宋体" w:hAnsi="宋体" w:eastAsia="宋体"/>
          <w:sz w:val="24"/>
          <w:szCs w:val="24"/>
          <w:lang w:val="en-US"/>
        </w:rPr>
        <w:t>.双击打开单位工程，点击至计价程序中，可以在计价程序中双击进行取费调整。包括管理费利润，总价措施费率，规费税金。</w:t>
      </w:r>
      <w:r>
        <w:drawing>
          <wp:inline distT="0" distB="0" distL="114300" distR="114300">
            <wp:extent cx="5499735" cy="4044315"/>
            <wp:effectExtent l="0" t="0" r="1905" b="952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03545" cy="2912745"/>
            <wp:effectExtent l="0" t="0" r="13335" b="1333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93385" cy="2136140"/>
            <wp:effectExtent l="0" t="0" r="8255" b="1270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  <w:lang w:val="en-US"/>
        </w:rPr>
      </w:pPr>
      <w:r>
        <w:rPr>
          <w:rFonts w:hint="eastAsia" w:eastAsia="宋体"/>
          <w:lang w:val="en-US"/>
        </w:rPr>
        <w:t>2.</w:t>
      </w:r>
      <w:r>
        <w:rPr>
          <w:rFonts w:hint="eastAsia" w:ascii="宋体" w:hAnsi="宋体" w:eastAsia="宋体"/>
          <w:sz w:val="24"/>
          <w:szCs w:val="24"/>
          <w:lang w:val="en-US"/>
        </w:rPr>
        <w:t>相同专业费率统一，勾选</w:t>
      </w:r>
      <w:r>
        <w:rPr>
          <w:rFonts w:hint="eastAsia" w:ascii="宋体" w:hAnsi="宋体" w:eastAsia="宋体"/>
          <w:color w:val="FF0000"/>
          <w:sz w:val="24"/>
          <w:szCs w:val="24"/>
          <w:lang w:val="en-US"/>
        </w:rPr>
        <w:t>已设置好取费得单位工程为基准</w:t>
      </w:r>
      <w:r>
        <w:rPr>
          <w:rFonts w:hint="eastAsia" w:ascii="宋体" w:hAnsi="宋体" w:eastAsia="宋体"/>
          <w:sz w:val="24"/>
          <w:szCs w:val="24"/>
          <w:lang w:val="en-US"/>
        </w:rPr>
        <w:t>，点击左下角</w:t>
      </w:r>
      <w:r>
        <w:rPr>
          <w:rFonts w:hint="eastAsia" w:ascii="宋体" w:hAnsi="宋体" w:eastAsia="宋体"/>
          <w:color w:val="FF0000"/>
          <w:sz w:val="24"/>
          <w:szCs w:val="24"/>
          <w:lang w:val="en-US"/>
        </w:rPr>
        <w:t>勾选相同专业</w:t>
      </w:r>
      <w:r>
        <w:rPr>
          <w:rFonts w:hint="eastAsia" w:ascii="宋体" w:hAnsi="宋体" w:eastAsia="宋体"/>
          <w:sz w:val="24"/>
          <w:szCs w:val="24"/>
          <w:lang w:val="en-US"/>
        </w:rPr>
        <w:t>，点击确定</w:t>
      </w:r>
      <w:r>
        <w:drawing>
          <wp:inline distT="0" distB="0" distL="114300" distR="114300">
            <wp:extent cx="5494655" cy="1574165"/>
            <wp:effectExtent l="0" t="0" r="6985" b="10795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62500" cy="3810000"/>
            <wp:effectExtent l="0" t="0" r="7620" b="0"/>
            <wp:docPr id="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3"/>
      </w:pPr>
      <w:bookmarkStart w:id="5" w:name="_Toc19471"/>
      <w:r>
        <w:rPr>
          <w:rFonts w:hint="eastAsia"/>
          <w:lang w:val="en-US"/>
        </w:rPr>
        <w:t>2</w:t>
      </w:r>
      <w:r>
        <w:rPr>
          <w:lang w:val="en-US"/>
        </w:rPr>
        <w:t>.3</w:t>
      </w:r>
      <w:r>
        <w:rPr>
          <w:rFonts w:hint="eastAsia" w:ascii="宋体" w:hAnsi="宋体" w:eastAsia="宋体" w:cs="宋体"/>
        </w:rPr>
        <w:t>分部分项组价</w:t>
      </w:r>
      <w:bookmarkEnd w:id="5"/>
    </w:p>
    <w:p>
      <w:pPr>
        <w:pStyle w:val="4"/>
      </w:pPr>
      <w:bookmarkStart w:id="6" w:name="_bookmark4"/>
      <w:bookmarkEnd w:id="6"/>
      <w:bookmarkStart w:id="7" w:name="1.定额输入的几种方式"/>
      <w:bookmarkEnd w:id="7"/>
      <w:bookmarkStart w:id="8" w:name="_Toc32439"/>
      <w:r>
        <w:t>1.定额输入的几种方式</w:t>
      </w:r>
      <w:bookmarkEnd w:id="8"/>
    </w:p>
    <w:p>
      <w:pPr>
        <w:pStyle w:val="11"/>
        <w:numPr>
          <w:ilvl w:val="1"/>
          <w:numId w:val="4"/>
        </w:numPr>
        <w:tabs>
          <w:tab w:val="left" w:pos="1023"/>
        </w:tabs>
        <w:spacing w:before="160" w:line="364" w:lineRule="auto"/>
        <w:ind w:right="241" w:firstLine="480"/>
        <w:rPr>
          <w:sz w:val="24"/>
        </w:rPr>
      </w:pPr>
      <w:r>
        <w:rPr>
          <w:spacing w:val="-2"/>
          <w:sz w:val="24"/>
        </w:rPr>
        <w:t>通过辅助栏</w:t>
      </w:r>
      <w:r>
        <w:rPr>
          <w:b/>
          <w:spacing w:val="-2"/>
          <w:sz w:val="24"/>
        </w:rPr>
        <w:t>“清单指引”</w:t>
      </w:r>
      <w:r>
        <w:rPr>
          <w:spacing w:val="-4"/>
          <w:sz w:val="24"/>
        </w:rPr>
        <w:t>功能录入，选中相应清单，打开辅助栏</w:t>
      </w:r>
      <w:r>
        <w:rPr>
          <w:b/>
          <w:spacing w:val="-5"/>
          <w:sz w:val="24"/>
        </w:rPr>
        <w:t>“清单</w:t>
      </w:r>
      <w:r>
        <w:rPr>
          <w:b/>
          <w:sz w:val="24"/>
        </w:rPr>
        <w:t>指引”，</w:t>
      </w:r>
      <w:r>
        <w:rPr>
          <w:sz w:val="24"/>
        </w:rPr>
        <w:t>双击选定定额即可完成定额输入；</w:t>
      </w:r>
    </w:p>
    <w:p>
      <w:pPr>
        <w:pStyle w:val="5"/>
        <w:rPr>
          <w:rFonts w:ascii="宋体"/>
          <w:sz w:val="28"/>
        </w:rPr>
      </w:pPr>
      <w:r>
        <w:drawing>
          <wp:inline distT="0" distB="0" distL="114300" distR="114300">
            <wp:extent cx="5501640" cy="3098165"/>
            <wp:effectExtent l="0" t="0" r="0" b="10795"/>
            <wp:docPr id="5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4"/>
        </w:numPr>
        <w:tabs>
          <w:tab w:val="left" w:pos="1023"/>
        </w:tabs>
        <w:spacing w:before="0"/>
        <w:ind w:left="1022"/>
        <w:rPr>
          <w:sz w:val="24"/>
        </w:rPr>
      </w:pPr>
      <w:r>
        <w:rPr>
          <w:sz w:val="24"/>
        </w:rPr>
        <w:t>定额库手动查找相关定额；</w:t>
      </w:r>
    </w:p>
    <w:p>
      <w:pPr>
        <w:pStyle w:val="5"/>
        <w:spacing w:before="9"/>
        <w:rPr>
          <w:rFonts w:ascii="宋体"/>
          <w:sz w:val="10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5503545" cy="2590800"/>
            <wp:effectExtent l="0" t="0" r="13335" b="0"/>
            <wp:wrapTopAndBottom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tabs>
          <w:tab w:val="left" w:pos="1023"/>
        </w:tabs>
        <w:spacing w:before="189"/>
        <w:ind w:left="599" w:firstLine="0"/>
        <w:rPr>
          <w:sz w:val="24"/>
        </w:rPr>
      </w:pPr>
    </w:p>
    <w:p>
      <w:pPr>
        <w:pStyle w:val="11"/>
        <w:tabs>
          <w:tab w:val="left" w:pos="1023"/>
        </w:tabs>
        <w:spacing w:before="189"/>
        <w:ind w:left="599" w:firstLine="0"/>
        <w:rPr>
          <w:sz w:val="24"/>
        </w:rPr>
      </w:pPr>
    </w:p>
    <w:p>
      <w:pPr>
        <w:pStyle w:val="11"/>
        <w:tabs>
          <w:tab w:val="left" w:pos="1023"/>
        </w:tabs>
        <w:spacing w:before="189"/>
        <w:ind w:left="599" w:firstLine="0"/>
        <w:rPr>
          <w:sz w:val="24"/>
        </w:rPr>
      </w:pPr>
    </w:p>
    <w:p>
      <w:pPr>
        <w:pStyle w:val="11"/>
        <w:tabs>
          <w:tab w:val="left" w:pos="1023"/>
        </w:tabs>
        <w:spacing w:before="189"/>
        <w:ind w:left="599" w:firstLine="0"/>
        <w:rPr>
          <w:sz w:val="24"/>
        </w:rPr>
      </w:pPr>
    </w:p>
    <w:p>
      <w:pPr>
        <w:pStyle w:val="11"/>
        <w:tabs>
          <w:tab w:val="left" w:pos="1023"/>
        </w:tabs>
        <w:spacing w:before="189"/>
        <w:ind w:left="0" w:firstLine="0"/>
        <w:rPr>
          <w:sz w:val="24"/>
        </w:rPr>
      </w:pPr>
    </w:p>
    <w:p>
      <w:pPr>
        <w:pStyle w:val="11"/>
        <w:numPr>
          <w:ilvl w:val="1"/>
          <w:numId w:val="4"/>
        </w:numPr>
        <w:tabs>
          <w:tab w:val="left" w:pos="1023"/>
        </w:tabs>
        <w:spacing w:before="189"/>
        <w:ind w:left="1022"/>
        <w:rPr>
          <w:sz w:val="24"/>
        </w:rPr>
      </w:pPr>
      <w:r>
        <w:rPr>
          <w:sz w:val="24"/>
        </w:rPr>
        <w:t>通过定额库弹窗查找对应定额套价；</w:t>
      </w:r>
    </w:p>
    <w:p>
      <w:pPr>
        <w:pStyle w:val="5"/>
        <w:spacing w:before="9"/>
        <w:rPr>
          <w:rFonts w:ascii="宋体"/>
          <w:sz w:val="10"/>
        </w:rPr>
        <w:sectPr>
          <w:pgSz w:w="11910" w:h="16840"/>
          <w:pgMar w:top="1500" w:right="1560" w:bottom="1160" w:left="1680" w:header="0" w:footer="970" w:gutter="0"/>
          <w:cols w:space="720" w:num="1"/>
        </w:sect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5498465" cy="2840355"/>
            <wp:effectExtent l="0" t="0" r="3175" b="9525"/>
            <wp:wrapTopAndBottom/>
            <wp:docPr id="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numPr>
          <w:ilvl w:val="1"/>
          <w:numId w:val="4"/>
        </w:numPr>
        <w:tabs>
          <w:tab w:val="left" w:pos="1023"/>
        </w:tabs>
        <w:spacing w:before="42" w:line="364" w:lineRule="auto"/>
        <w:ind w:right="237" w:firstLine="480"/>
        <w:jc w:val="both"/>
        <w:rPr>
          <w:sz w:val="24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955040</wp:posOffset>
            </wp:positionV>
            <wp:extent cx="5497830" cy="2130425"/>
            <wp:effectExtent l="0" t="0" r="3810" b="3175"/>
            <wp:wrapTopAndBottom/>
            <wp:docPr id="5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在预算书清单名称中输入定额名称，软件会根据已经输入的定额名称关</w:t>
      </w:r>
      <w:r>
        <w:rPr>
          <w:spacing w:val="-7"/>
          <w:sz w:val="24"/>
        </w:rPr>
        <w:t>键词自动查询出符合条件的定额，显示在下拉列表中，点击需要录入的定额即可</w:t>
      </w:r>
      <w:r>
        <w:rPr>
          <w:sz w:val="24"/>
        </w:rPr>
        <w:t>录入；</w:t>
      </w:r>
    </w:p>
    <w:p>
      <w:pPr>
        <w:pStyle w:val="5"/>
        <w:rPr>
          <w:rFonts w:ascii="宋体"/>
          <w:sz w:val="29"/>
        </w:rPr>
      </w:pPr>
    </w:p>
    <w:p>
      <w:pPr>
        <w:pStyle w:val="11"/>
        <w:numPr>
          <w:ilvl w:val="1"/>
          <w:numId w:val="4"/>
        </w:numPr>
        <w:tabs>
          <w:tab w:val="left" w:pos="1023"/>
        </w:tabs>
        <w:spacing w:before="1"/>
        <w:ind w:left="1022"/>
        <w:sectPr>
          <w:pgSz w:w="11910" w:h="16840"/>
          <w:pgMar w:top="1460" w:right="1560" w:bottom="1160" w:left="1680" w:header="0" w:footer="970" w:gutter="0"/>
          <w:cols w:space="720" w:num="1"/>
        </w:sect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324485</wp:posOffset>
            </wp:positionV>
            <wp:extent cx="5495290" cy="2244725"/>
            <wp:effectExtent l="0" t="0" r="6350" b="10795"/>
            <wp:wrapTopAndBottom/>
            <wp:docPr id="6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在项目编号栏直接输入定额编号：</w:t>
      </w:r>
    </w:p>
    <w:p>
      <w:pPr>
        <w:pStyle w:val="4"/>
      </w:pPr>
      <w:bookmarkStart w:id="9" w:name="_bookmark5"/>
      <w:bookmarkEnd w:id="9"/>
      <w:bookmarkStart w:id="10" w:name="2.补充定额的录入"/>
      <w:bookmarkEnd w:id="10"/>
      <w:bookmarkStart w:id="11" w:name="_Toc25940"/>
      <w:r>
        <w:rPr>
          <w:rFonts w:hint="eastAsia"/>
        </w:rPr>
        <w:t>2</w:t>
      </w:r>
      <w:r>
        <w:t>.补充定额的录入</w:t>
      </w:r>
      <w:bookmarkEnd w:id="11"/>
    </w:p>
    <w:p>
      <w:pPr>
        <w:pStyle w:val="11"/>
        <w:numPr>
          <w:ilvl w:val="1"/>
          <w:numId w:val="4"/>
        </w:numPr>
        <w:tabs>
          <w:tab w:val="left" w:pos="965"/>
        </w:tabs>
        <w:spacing w:before="160" w:line="364" w:lineRule="auto"/>
        <w:ind w:right="230" w:firstLine="420"/>
        <w:jc w:val="both"/>
        <w:rPr>
          <w:sz w:val="24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943610</wp:posOffset>
            </wp:positionV>
            <wp:extent cx="5264150" cy="2571115"/>
            <wp:effectExtent l="0" t="0" r="8890" b="4445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896" cy="257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 xml:space="preserve">新增子目行，在项目编码中输入要 </w:t>
      </w:r>
      <w:r>
        <w:rPr>
          <w:rFonts w:ascii="Calibri" w:eastAsia="Calibri"/>
          <w:spacing w:val="-12"/>
          <w:sz w:val="24"/>
        </w:rPr>
        <w:t>D</w:t>
      </w:r>
      <w:r>
        <w:rPr>
          <w:spacing w:val="-4"/>
          <w:sz w:val="24"/>
        </w:rPr>
        <w:t>，再按</w:t>
      </w:r>
      <w:r>
        <w:rPr>
          <w:rFonts w:ascii="Calibri" w:eastAsia="Calibri"/>
          <w:sz w:val="24"/>
        </w:rPr>
        <w:t>&lt;Enter&gt;</w:t>
      </w:r>
      <w:r>
        <w:rPr>
          <w:spacing w:val="-2"/>
          <w:sz w:val="24"/>
        </w:rPr>
        <w:t>键即弹出补充定额编</w:t>
      </w:r>
      <w:r>
        <w:rPr>
          <w:spacing w:val="-10"/>
          <w:sz w:val="24"/>
        </w:rPr>
        <w:t>制界面，名称、单位默认同清单。选择补充子目类别，材料类别，填写相应的人材机费用，点击【确定】即可。</w:t>
      </w: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spacing w:before="9"/>
        <w:rPr>
          <w:rFonts w:ascii="宋体"/>
          <w:sz w:val="28"/>
        </w:rPr>
      </w:pPr>
    </w:p>
    <w:p>
      <w:pPr>
        <w:pStyle w:val="11"/>
        <w:numPr>
          <w:ilvl w:val="1"/>
          <w:numId w:val="4"/>
        </w:numPr>
        <w:tabs>
          <w:tab w:val="left" w:pos="963"/>
        </w:tabs>
        <w:spacing w:before="0"/>
        <w:ind w:left="962"/>
        <w:rPr>
          <w:sz w:val="24"/>
        </w:rPr>
      </w:pPr>
      <w:r>
        <w:rPr>
          <w:sz w:val="24"/>
        </w:rPr>
        <w:t>通过工具栏编制独立费、简单定额快捷键录入</w:t>
      </w:r>
    </w:p>
    <w:p>
      <w:pPr>
        <w:pStyle w:val="5"/>
        <w:spacing w:before="6"/>
        <w:rPr>
          <w:rFonts w:ascii="宋体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142875</wp:posOffset>
            </wp:positionV>
            <wp:extent cx="5173980" cy="2531110"/>
            <wp:effectExtent l="0" t="0" r="7620" b="13970"/>
            <wp:wrapTopAndBottom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3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093" cy="2530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/>
          <w:sz w:val="14"/>
        </w:rPr>
        <w:sectPr>
          <w:pgSz w:w="11910" w:h="16840"/>
          <w:pgMar w:top="1440" w:right="1560" w:bottom="1160" w:left="1680" w:header="0" w:footer="970" w:gutter="0"/>
          <w:cols w:space="720" w:num="1"/>
        </w:sectPr>
      </w:pPr>
    </w:p>
    <w:p>
      <w:pPr>
        <w:pStyle w:val="4"/>
      </w:pPr>
      <w:bookmarkStart w:id="12" w:name="3.插入主材和设备"/>
      <w:bookmarkEnd w:id="12"/>
      <w:bookmarkStart w:id="13" w:name="_bookmark6"/>
      <w:bookmarkEnd w:id="13"/>
      <w:bookmarkStart w:id="14" w:name="_Toc29552"/>
      <w:r>
        <w:rPr>
          <w:rFonts w:hint="eastAsia"/>
        </w:rPr>
        <w:t>3</w:t>
      </w:r>
      <w:r>
        <w:t>.插入主材和设备</w:t>
      </w:r>
      <w:bookmarkEnd w:id="14"/>
    </w:p>
    <w:p>
      <w:pPr>
        <w:pStyle w:val="11"/>
        <w:numPr>
          <w:ilvl w:val="1"/>
          <w:numId w:val="4"/>
        </w:numPr>
        <w:tabs>
          <w:tab w:val="left" w:pos="965"/>
        </w:tabs>
        <w:spacing w:before="84" w:line="242" w:lineRule="auto"/>
        <w:ind w:right="230" w:firstLine="420"/>
        <w:rPr>
          <w:sz w:val="24"/>
        </w:rPr>
      </w:pPr>
      <w:r>
        <w:rPr>
          <w:spacing w:val="-1"/>
          <w:sz w:val="24"/>
        </w:rPr>
        <w:t>选中相应定额，查看辅助栏</w:t>
      </w:r>
      <w:r>
        <w:rPr>
          <w:b/>
          <w:sz w:val="24"/>
        </w:rPr>
        <w:t>“人材机含量”</w:t>
      </w:r>
      <w:r>
        <w:rPr>
          <w:spacing w:val="-1"/>
          <w:sz w:val="24"/>
        </w:rPr>
        <w:t>右键材料行，即可选择插入</w:t>
      </w:r>
      <w:r>
        <w:rPr>
          <w:sz w:val="24"/>
        </w:rPr>
        <w:t>主材或设备。</w:t>
      </w:r>
    </w:p>
    <w:p>
      <w:pPr>
        <w:pStyle w:val="5"/>
        <w:spacing w:before="1"/>
        <w:rPr>
          <w:rFonts w:ascii="宋体"/>
          <w:sz w:val="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1293495</wp:posOffset>
            </wp:positionH>
            <wp:positionV relativeFrom="paragraph">
              <wp:posOffset>90805</wp:posOffset>
            </wp:positionV>
            <wp:extent cx="5004435" cy="2595245"/>
            <wp:effectExtent l="0" t="0" r="9525" b="10795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186" cy="259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numPr>
          <w:ilvl w:val="1"/>
          <w:numId w:val="4"/>
        </w:numPr>
        <w:tabs>
          <w:tab w:val="left" w:pos="965"/>
        </w:tabs>
        <w:spacing w:before="111" w:after="34" w:line="242" w:lineRule="auto"/>
        <w:ind w:right="110" w:firstLine="420"/>
        <w:rPr>
          <w:sz w:val="24"/>
        </w:rPr>
      </w:pPr>
      <w:r>
        <w:rPr>
          <w:spacing w:val="-6"/>
          <w:sz w:val="24"/>
        </w:rPr>
        <w:t>选择编制菜单栏</w:t>
      </w:r>
      <w:r>
        <w:rPr>
          <w:b/>
          <w:spacing w:val="-6"/>
          <w:sz w:val="24"/>
        </w:rPr>
        <w:t>“主材查看”</w:t>
      </w:r>
      <w:r>
        <w:rPr>
          <w:spacing w:val="-7"/>
          <w:sz w:val="24"/>
        </w:rPr>
        <w:t xml:space="preserve">功能，点击即可打开主材查看和换算窗口， </w:t>
      </w:r>
      <w:r>
        <w:rPr>
          <w:sz w:val="24"/>
        </w:rPr>
        <w:t>右键对应定额即可新增或插入主材</w:t>
      </w:r>
    </w:p>
    <w:p>
      <w:pPr>
        <w:pStyle w:val="5"/>
        <w:ind w:left="388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4799965" cy="2463165"/>
            <wp:effectExtent l="0" t="0" r="635" b="5715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456" cy="246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/>
          <w:sz w:val="20"/>
        </w:rPr>
        <w:sectPr>
          <w:pgSz w:w="11910" w:h="16840"/>
          <w:pgMar w:top="1440" w:right="1560" w:bottom="1160" w:left="1680" w:header="0" w:footer="970" w:gutter="0"/>
          <w:cols w:space="720" w:num="1"/>
        </w:sectPr>
      </w:pPr>
    </w:p>
    <w:p>
      <w:pPr>
        <w:pStyle w:val="4"/>
      </w:pPr>
      <w:bookmarkStart w:id="15" w:name="4.定额工程量的匹配和修改"/>
      <w:bookmarkEnd w:id="15"/>
      <w:bookmarkStart w:id="16" w:name="_bookmark7"/>
      <w:bookmarkEnd w:id="16"/>
      <w:bookmarkStart w:id="17" w:name="_Toc2605"/>
      <w:r>
        <w:rPr>
          <w:rFonts w:hint="eastAsia"/>
        </w:rPr>
        <w:t>4</w:t>
      </w:r>
      <w:r>
        <w:t>.定额工程量的匹配和修改</w:t>
      </w:r>
      <w:bookmarkEnd w:id="17"/>
    </w:p>
    <w:p>
      <w:pPr>
        <w:pStyle w:val="5"/>
        <w:spacing w:before="5" w:line="242" w:lineRule="auto"/>
        <w:ind w:left="120" w:right="183" w:firstLine="420"/>
        <w:rPr>
          <w:rFonts w:ascii="宋体" w:eastAsia="宋体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1302385</wp:posOffset>
            </wp:positionH>
            <wp:positionV relativeFrom="paragraph">
              <wp:posOffset>456565</wp:posOffset>
            </wp:positionV>
            <wp:extent cx="4949190" cy="2445385"/>
            <wp:effectExtent l="0" t="0" r="3810" b="8255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144" cy="244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eastAsia="宋体"/>
        </w:rPr>
        <w:t>定额工程量和清单工程量单位一致，自动匹配；如果不一致需在计算式中输入计算式。</w:t>
      </w:r>
    </w:p>
    <w:p>
      <w:pPr>
        <w:spacing w:line="242" w:lineRule="auto"/>
        <w:rPr>
          <w:rFonts w:ascii="宋体" w:eastAsia="宋体"/>
        </w:rPr>
        <w:sectPr>
          <w:pgSz w:w="11910" w:h="16840"/>
          <w:pgMar w:top="1380" w:right="1560" w:bottom="1160" w:left="1680" w:header="0" w:footer="970" w:gutter="0"/>
          <w:cols w:space="720" w:num="1"/>
        </w:sectPr>
      </w:pPr>
    </w:p>
    <w:p>
      <w:pPr>
        <w:pStyle w:val="4"/>
      </w:pPr>
      <w:bookmarkStart w:id="18" w:name="_bookmark8"/>
      <w:bookmarkEnd w:id="18"/>
      <w:bookmarkStart w:id="19" w:name="5.材料换算"/>
      <w:bookmarkEnd w:id="19"/>
      <w:bookmarkStart w:id="20" w:name="_Toc11764"/>
      <w:r>
        <w:rPr>
          <w:rFonts w:hint="eastAsia"/>
        </w:rPr>
        <w:t>5</w:t>
      </w:r>
      <w:r>
        <w:t>.材料换算</w:t>
      </w:r>
      <w:bookmarkEnd w:id="20"/>
    </w:p>
    <w:p>
      <w:pPr>
        <w:pStyle w:val="5"/>
        <w:spacing w:before="81" w:line="364" w:lineRule="auto"/>
        <w:ind w:left="120" w:right="230" w:firstLine="480"/>
        <w:rPr>
          <w:rFonts w:ascii="宋体" w:hAnsi="宋体" w:eastAsia="宋体"/>
        </w:rPr>
      </w:pPr>
      <w:r>
        <w:rPr>
          <w:rFonts w:hint="eastAsia" w:ascii="宋体" w:hAnsi="宋体" w:eastAsia="宋体"/>
          <w:spacing w:val="-7"/>
        </w:rPr>
        <w:t>材料换算的步骤同插入主材一样，需要先选择到该定额，然后点击辅助栏里</w:t>
      </w:r>
      <w:r>
        <w:rPr>
          <w:rFonts w:hint="eastAsia" w:ascii="宋体" w:hAnsi="宋体" w:eastAsia="宋体"/>
          <w:spacing w:val="-20"/>
        </w:rPr>
        <w:t>的</w:t>
      </w:r>
      <w:r>
        <w:rPr>
          <w:rFonts w:hint="eastAsia" w:ascii="宋体" w:hAnsi="宋体" w:eastAsia="宋体"/>
          <w:b/>
          <w:spacing w:val="-3"/>
        </w:rPr>
        <w:t>‘人才机含量’</w:t>
      </w:r>
      <w:r>
        <w:rPr>
          <w:rFonts w:hint="eastAsia" w:ascii="宋体" w:hAnsi="宋体" w:eastAsia="宋体"/>
          <w:spacing w:val="-9"/>
        </w:rPr>
        <w:t>，选择材料，右击换算相应材料，或者是选择材料后点击键盘</w:t>
      </w:r>
    </w:p>
    <w:p>
      <w:pPr>
        <w:spacing w:before="2"/>
        <w:ind w:left="120"/>
        <w:rPr>
          <w:rFonts w:ascii="宋体" w:eastAsia="宋体"/>
          <w:sz w:val="24"/>
        </w:rPr>
      </w:pPr>
      <w:r>
        <w:rPr>
          <w:rFonts w:ascii="Calibri" w:eastAsia="Calibri"/>
          <w:b/>
          <w:sz w:val="24"/>
        </w:rPr>
        <w:t xml:space="preserve">&lt;F7&gt; </w:t>
      </w:r>
      <w:r>
        <w:rPr>
          <w:rFonts w:hint="eastAsia" w:ascii="宋体" w:eastAsia="宋体"/>
          <w:sz w:val="24"/>
        </w:rPr>
        <w:t>快捷打开换算界面进行换算。</w:t>
      </w:r>
    </w:p>
    <w:p>
      <w:pPr>
        <w:pStyle w:val="5"/>
        <w:spacing w:before="2"/>
        <w:rPr>
          <w:rFonts w:ascii="宋体"/>
          <w:sz w:val="12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123825</wp:posOffset>
            </wp:positionV>
            <wp:extent cx="5229225" cy="2590165"/>
            <wp:effectExtent l="0" t="0" r="13335" b="635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8" cy="2590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ind w:left="120"/>
        <w:rPr>
          <w:rFonts w:ascii="宋体"/>
          <w:sz w:val="20"/>
        </w:rPr>
      </w:pPr>
    </w:p>
    <w:p>
      <w:pPr>
        <w:rPr>
          <w:rFonts w:ascii="宋体"/>
          <w:sz w:val="20"/>
        </w:rPr>
        <w:sectPr>
          <w:footerReference r:id="rId3" w:type="default"/>
          <w:pgSz w:w="11910" w:h="16840"/>
          <w:pgMar w:top="1380" w:right="1560" w:bottom="1080" w:left="1680" w:header="0" w:footer="890" w:gutter="0"/>
          <w:pgNumType w:start="10"/>
          <w:cols w:space="720" w:num="1"/>
        </w:sectPr>
      </w:pPr>
    </w:p>
    <w:p>
      <w:pPr>
        <w:pStyle w:val="4"/>
      </w:pPr>
      <w:bookmarkStart w:id="21" w:name="_bookmark9"/>
      <w:bookmarkEnd w:id="21"/>
      <w:bookmarkStart w:id="22" w:name="6.材料、价格调整"/>
      <w:bookmarkEnd w:id="22"/>
      <w:bookmarkStart w:id="23" w:name="_Toc18713"/>
      <w:r>
        <w:rPr>
          <w:rFonts w:hint="eastAsia"/>
        </w:rPr>
        <w:t>6</w:t>
      </w:r>
      <w:r>
        <w:t>.材料、价格调整</w:t>
      </w:r>
      <w:bookmarkEnd w:id="23"/>
    </w:p>
    <w:p>
      <w:pPr>
        <w:pStyle w:val="4"/>
      </w:pPr>
      <w:bookmarkStart w:id="24" w:name="_bookmark10"/>
      <w:bookmarkEnd w:id="24"/>
      <w:bookmarkStart w:id="25" w:name="6.1_修改人材机价格"/>
      <w:bookmarkEnd w:id="25"/>
      <w:bookmarkStart w:id="26" w:name="_Toc26860"/>
      <w:r>
        <w:rPr>
          <w:rFonts w:hint="eastAsia" w:eastAsiaTheme="minorEastAsia"/>
        </w:rPr>
        <w:t>7</w:t>
      </w:r>
      <w:r>
        <w:rPr>
          <w:rFonts w:eastAsiaTheme="minorEastAsia"/>
        </w:rPr>
        <w:t>.</w:t>
      </w:r>
      <w:r>
        <w:t>修改人材机价格</w:t>
      </w:r>
      <w:bookmarkEnd w:id="26"/>
    </w:p>
    <w:p>
      <w:pPr>
        <w:pStyle w:val="5"/>
        <w:spacing w:before="161" w:line="364" w:lineRule="auto"/>
        <w:ind w:left="120" w:right="180"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选中相应定额，查看辅助栏</w:t>
      </w:r>
      <w:r>
        <w:rPr>
          <w:rFonts w:hint="eastAsia" w:ascii="宋体" w:hAnsi="宋体" w:eastAsia="宋体"/>
          <w:b/>
        </w:rPr>
        <w:t>“人材机含量”</w:t>
      </w:r>
      <w:r>
        <w:rPr>
          <w:rFonts w:hint="eastAsia" w:ascii="宋体" w:hAnsi="宋体" w:eastAsia="宋体"/>
        </w:rPr>
        <w:t>，双击“除税价”“数量”可直接修改；</w:t>
      </w:r>
    </w:p>
    <w:p>
      <w:pPr>
        <w:pStyle w:val="5"/>
        <w:ind w:left="268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5052695" cy="2471420"/>
            <wp:effectExtent l="0" t="0" r="6985" b="1270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723" cy="247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7" w:name="_bookmark11"/>
      <w:bookmarkEnd w:id="27"/>
      <w:bookmarkStart w:id="28" w:name="6.2_直接修改清单综合单价"/>
      <w:bookmarkEnd w:id="28"/>
      <w:bookmarkStart w:id="29" w:name="_Toc26521"/>
      <w:r>
        <w:rPr>
          <w:rFonts w:hint="eastAsia" w:eastAsiaTheme="minorEastAsia"/>
        </w:rPr>
        <w:t>8</w:t>
      </w:r>
      <w:r>
        <w:rPr>
          <w:rFonts w:eastAsiaTheme="minorEastAsia"/>
        </w:rPr>
        <w:t>.</w:t>
      </w:r>
      <w:r>
        <w:t>直接修改清单综合单价</w:t>
      </w:r>
      <w:bookmarkEnd w:id="29"/>
    </w:p>
    <w:p>
      <w:pPr>
        <w:pStyle w:val="5"/>
        <w:spacing w:before="161" w:after="15" w:line="364" w:lineRule="auto"/>
        <w:ind w:left="120" w:right="183" w:firstLine="420"/>
        <w:rPr>
          <w:rFonts w:ascii="宋体" w:eastAsia="宋体"/>
        </w:rPr>
      </w:pPr>
      <w:r>
        <w:rPr>
          <w:rFonts w:hint="eastAsia" w:ascii="宋体" w:eastAsia="宋体"/>
        </w:rPr>
        <w:t>选中清单综合单价栏（无需双击），直接输入期望单价，软件弹出修改清单单价窗口，根据需求选择调整方式</w:t>
      </w:r>
    </w:p>
    <w:p>
      <w:pPr>
        <w:pStyle w:val="5"/>
        <w:ind w:left="417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4942205" cy="2473325"/>
            <wp:effectExtent l="0" t="0" r="10795" b="10795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667" cy="247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6"/>
        <w:ind w:left="54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也可右键清单</w:t>
      </w:r>
      <w:r>
        <w:rPr>
          <w:rFonts w:ascii="Calibri" w:hAnsi="Calibri" w:eastAsia="Calibri"/>
        </w:rPr>
        <w:t>-</w:t>
      </w:r>
      <w:r>
        <w:rPr>
          <w:rFonts w:hint="eastAsia" w:ascii="宋体" w:hAnsi="宋体" w:eastAsia="宋体"/>
        </w:rPr>
        <w:t>“综合单价调整”</w:t>
      </w:r>
    </w:p>
    <w:p>
      <w:pPr>
        <w:rPr>
          <w:rFonts w:ascii="宋体" w:hAnsi="宋体" w:eastAsia="宋体"/>
        </w:rPr>
        <w:sectPr>
          <w:pgSz w:w="11910" w:h="16840"/>
          <w:pgMar w:top="1460" w:right="1560" w:bottom="1160" w:left="1680" w:header="0" w:footer="890" w:gutter="0"/>
          <w:cols w:space="720" w:num="1"/>
        </w:sectPr>
      </w:pPr>
    </w:p>
    <w:p>
      <w:pPr>
        <w:pStyle w:val="5"/>
        <w:ind w:left="448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4813935" cy="2395220"/>
            <wp:effectExtent l="0" t="0" r="1905" b="1270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185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rFonts w:ascii="宋体"/>
          <w:sz w:val="13"/>
        </w:rPr>
      </w:pPr>
    </w:p>
    <w:p>
      <w:pPr>
        <w:spacing w:before="66" w:line="364" w:lineRule="auto"/>
        <w:ind w:left="120" w:right="42" w:firstLine="420"/>
        <w:rPr>
          <w:rFonts w:ascii="宋体" w:hAnsi="宋体" w:eastAsia="宋体"/>
          <w:sz w:val="24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606425</wp:posOffset>
            </wp:positionV>
            <wp:extent cx="5273040" cy="3514090"/>
            <wp:effectExtent l="0" t="0" r="0" b="635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</w:rPr>
        <w:t>批量调整清单单价：分部分项工具栏</w:t>
      </w:r>
      <w:r>
        <w:rPr>
          <w:rFonts w:ascii="Calibri" w:hAnsi="Calibri" w:eastAsia="Calibri"/>
          <w:sz w:val="24"/>
        </w:rPr>
        <w:t>-</w:t>
      </w:r>
      <w:r>
        <w:rPr>
          <w:rFonts w:hint="eastAsia" w:ascii="宋体" w:hAnsi="宋体" w:eastAsia="宋体"/>
          <w:b/>
          <w:sz w:val="24"/>
        </w:rPr>
        <w:t>“快速组价”</w:t>
      </w:r>
      <w:r>
        <w:rPr>
          <w:rFonts w:ascii="Calibri" w:hAnsi="Calibri" w:eastAsia="Calibri"/>
          <w:b/>
          <w:sz w:val="24"/>
        </w:rPr>
        <w:t>-</w:t>
      </w:r>
      <w:r>
        <w:rPr>
          <w:rFonts w:hint="eastAsia" w:ascii="宋体" w:hAnsi="宋体" w:eastAsia="宋体"/>
          <w:b/>
          <w:sz w:val="24"/>
        </w:rPr>
        <w:t>“批量调整清单单价”</w:t>
      </w:r>
      <w:r>
        <w:rPr>
          <w:rFonts w:hint="eastAsia" w:ascii="宋体" w:hAnsi="宋体" w:eastAsia="宋体"/>
          <w:sz w:val="24"/>
        </w:rPr>
        <w:t>， 在调整单价栏中输入新单价，并选择分摊方式点击确定即可。</w:t>
      </w: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/>
        </w:rPr>
      </w:pPr>
    </w:p>
    <w:p>
      <w:pPr>
        <w:pStyle w:val="5"/>
        <w:rPr>
          <w:rFonts w:ascii="宋体" w:eastAsiaTheme="minorEastAsia"/>
        </w:rPr>
      </w:pPr>
    </w:p>
    <w:p>
      <w:pPr>
        <w:pStyle w:val="5"/>
        <w:rPr>
          <w:rFonts w:hint="eastAsia" w:ascii="宋体" w:eastAsiaTheme="minorEastAsia"/>
        </w:rPr>
      </w:pPr>
    </w:p>
    <w:p>
      <w:pPr>
        <w:pStyle w:val="4"/>
      </w:pPr>
      <w:bookmarkStart w:id="30" w:name="_bookmark12"/>
      <w:bookmarkEnd w:id="30"/>
      <w:bookmarkStart w:id="31" w:name="6.3_工具栏-“数量调整”"/>
      <w:bookmarkEnd w:id="31"/>
      <w:bookmarkStart w:id="32" w:name="_Toc31573"/>
      <w:r>
        <w:rPr>
          <w:rFonts w:eastAsiaTheme="minorEastAsia"/>
        </w:rPr>
        <w:t>9.</w:t>
      </w:r>
      <w:r>
        <w:t>工具栏</w:t>
      </w:r>
      <w:r>
        <w:rPr>
          <w:rFonts w:ascii="Calibri" w:hAnsi="Calibri" w:eastAsia="Calibri"/>
        </w:rPr>
        <w:t>-</w:t>
      </w:r>
      <w:r>
        <w:t>“数量调整”</w:t>
      </w:r>
      <w:bookmarkEnd w:id="32"/>
    </w:p>
    <w:p>
      <w:pPr>
        <w:rPr>
          <w:sz w:val="24"/>
        </w:rPr>
        <w:sectPr>
          <w:pgSz w:w="11910" w:h="16840"/>
          <w:pgMar w:top="1540" w:right="1560" w:bottom="1160" w:left="1680" w:header="0" w:footer="890" w:gutter="0"/>
          <w:cols w:space="720" w:num="1"/>
        </w:sectPr>
      </w:pPr>
    </w:p>
    <w:p>
      <w:pPr>
        <w:pStyle w:val="5"/>
        <w:ind w:left="120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5225415" cy="2614930"/>
            <wp:effectExtent l="0" t="0" r="1905" b="635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830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"/>
        <w:rPr>
          <w:rFonts w:ascii="宋体"/>
          <w:b/>
          <w:sz w:val="12"/>
        </w:rPr>
      </w:pPr>
    </w:p>
    <w:p>
      <w:pPr>
        <w:pStyle w:val="4"/>
      </w:pPr>
      <w:bookmarkStart w:id="33" w:name="_Toc21067"/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1722120</wp:posOffset>
            </wp:positionH>
            <wp:positionV relativeFrom="paragraph">
              <wp:posOffset>293370</wp:posOffset>
            </wp:positionV>
            <wp:extent cx="4114800" cy="315468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999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>10.</w:t>
      </w:r>
      <w:r>
        <w:t>“人材机含量调整”</w:t>
      </w:r>
      <w:bookmarkEnd w:id="33"/>
    </w:p>
    <w:p>
      <w:pPr>
        <w:spacing w:before="68" w:after="80"/>
        <w:ind w:left="54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“工程量乘系数”</w:t>
      </w:r>
    </w:p>
    <w:p>
      <w:pPr>
        <w:pStyle w:val="5"/>
        <w:ind w:left="1272"/>
        <w:rPr>
          <w:rFonts w:ascii="宋体"/>
          <w:sz w:val="20"/>
        </w:rPr>
        <w:sectPr>
          <w:pgSz w:w="11910" w:h="16840"/>
          <w:pgMar w:top="1520" w:right="1560" w:bottom="1160" w:left="1680" w:header="0" w:footer="890" w:gutter="0"/>
          <w:cols w:space="720" w:num="1"/>
        </w:sectPr>
      </w:pPr>
      <w:r>
        <w:rPr>
          <w:rFonts w:ascii="宋体"/>
          <w:sz w:val="20"/>
        </w:rPr>
        <w:drawing>
          <wp:inline distT="0" distB="0" distL="0" distR="0">
            <wp:extent cx="3810000" cy="198120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4" w:name="_bookmark13"/>
      <w:bookmarkEnd w:id="34"/>
      <w:bookmarkStart w:id="35" w:name="7.快速组价-“外工程复制”、“外工程智能复制”"/>
      <w:bookmarkEnd w:id="35"/>
      <w:bookmarkStart w:id="36" w:name="_Toc4759"/>
      <w:r>
        <w:rPr>
          <w:lang w:val="en-US"/>
        </w:rPr>
        <w:t>11.</w:t>
      </w:r>
      <w:r>
        <w:t>快速组价-“外工程复制”、“外工程智能复制”</w:t>
      </w:r>
      <w:bookmarkEnd w:id="36"/>
    </w:p>
    <w:p>
      <w:pPr>
        <w:pStyle w:val="5"/>
        <w:spacing w:before="160" w:line="364" w:lineRule="auto"/>
        <w:ind w:left="120" w:right="237" w:firstLine="480"/>
        <w:rPr>
          <w:rFonts w:ascii="宋体" w:eastAsia="宋体"/>
        </w:rPr>
      </w:pPr>
      <w:r>
        <w:rPr>
          <w:rFonts w:hint="eastAsia" w:ascii="宋体" w:eastAsia="宋体"/>
        </w:rPr>
        <w:t>有的时候几个单位工程类似，比如住宅楼 11#，12#，这个时候重新套定额太浪费时间；</w:t>
      </w:r>
    </w:p>
    <w:p>
      <w:pPr>
        <w:pStyle w:val="5"/>
        <w:spacing w:before="1" w:line="364" w:lineRule="auto"/>
        <w:ind w:left="120" w:right="237" w:firstLine="480"/>
        <w:rPr>
          <w:rFonts w:ascii="宋体" w:eastAsia="宋体"/>
        </w:rPr>
      </w:pPr>
      <w:r>
        <w:rPr>
          <w:rFonts w:hint="eastAsia" w:ascii="宋体" w:eastAsia="宋体"/>
        </w:rPr>
        <w:t>这个时候软件有个外工程复制的功能，可以减少工作量，具体操作如下：</w:t>
      </w:r>
    </w:p>
    <w:p>
      <w:pPr>
        <w:pStyle w:val="5"/>
        <w:spacing w:before="1" w:line="364" w:lineRule="auto"/>
        <w:ind w:left="120" w:right="237" w:firstLine="480"/>
        <w:rPr>
          <w:rFonts w:ascii="宋体" w:eastAsia="宋体"/>
          <w:lang w:val="en-US"/>
        </w:rPr>
      </w:pPr>
      <w:r>
        <w:rPr>
          <w:rFonts w:hint="eastAsia" w:ascii="宋体" w:eastAsia="宋体"/>
          <w:lang w:val="en-US"/>
        </w:rPr>
        <w:t>打开未套定额的单位工程，在快速组价中选择外工程智能复制，弹出操作界面后，选择对应的.emzjx文件,选择已组好的单位工程，点击确定。</w:t>
      </w:r>
    </w:p>
    <w:p>
      <w:pPr>
        <w:pStyle w:val="5"/>
        <w:spacing w:before="1" w:line="364" w:lineRule="auto"/>
        <w:ind w:right="237"/>
        <w:rPr>
          <w:rFonts w:ascii="宋体" w:eastAsia="宋体"/>
        </w:rPr>
      </w:pPr>
      <w:r>
        <w:drawing>
          <wp:inline distT="0" distB="0" distL="114300" distR="114300">
            <wp:extent cx="5504180" cy="2282190"/>
            <wp:effectExtent l="0" t="0" r="12700" b="3810"/>
            <wp:docPr id="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1005" cy="3405505"/>
            <wp:effectExtent l="0" t="0" r="635" b="8255"/>
            <wp:docPr id="6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1005" cy="3405505"/>
            <wp:effectExtent l="0" t="0" r="635" b="8255"/>
            <wp:docPr id="6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eastAsia="宋体"/>
        </w:rPr>
        <w:t xml:space="preserve"> </w:t>
      </w:r>
    </w:p>
    <w:p>
      <w:pPr>
        <w:pStyle w:val="5"/>
        <w:spacing w:before="1"/>
        <w:rPr>
          <w:rFonts w:ascii="宋体"/>
          <w:sz w:val="16"/>
        </w:rPr>
      </w:pPr>
    </w:p>
    <w:p>
      <w:pPr>
        <w:spacing w:line="364" w:lineRule="auto"/>
        <w:rPr>
          <w:rFonts w:ascii="宋体" w:eastAsia="宋体"/>
        </w:rPr>
        <w:sectPr>
          <w:pgSz w:w="11910" w:h="16840"/>
          <w:pgMar w:top="1460" w:right="1560" w:bottom="1160" w:left="1680" w:header="0" w:footer="890" w:gutter="0"/>
          <w:cols w:space="720" w:num="1"/>
        </w:sectPr>
      </w:pPr>
    </w:p>
    <w:p>
      <w:pPr>
        <w:pStyle w:val="3"/>
      </w:pPr>
      <w:bookmarkStart w:id="37" w:name="_bookmark16"/>
      <w:bookmarkEnd w:id="37"/>
      <w:bookmarkStart w:id="38" w:name="8.2泵送费处理"/>
      <w:bookmarkEnd w:id="38"/>
      <w:bookmarkStart w:id="39" w:name="_Toc20248"/>
      <w:r>
        <w:rPr>
          <w:rFonts w:hint="eastAsia"/>
          <w:lang w:val="en-US"/>
        </w:rPr>
        <w:t>2</w:t>
      </w:r>
      <w:r>
        <w:rPr>
          <w:lang w:val="en-US"/>
        </w:rPr>
        <w:t>.4</w:t>
      </w:r>
      <w:r>
        <w:rPr>
          <w:rFonts w:hint="eastAsia" w:ascii="宋体" w:hAnsi="宋体" w:eastAsia="宋体" w:cs="宋体"/>
        </w:rPr>
        <w:t>单价措施</w:t>
      </w:r>
      <w:bookmarkEnd w:id="39"/>
    </w:p>
    <w:p>
      <w:pPr>
        <w:spacing w:before="186" w:line="364" w:lineRule="auto"/>
        <w:ind w:left="120" w:right="223" w:firstLine="420"/>
        <w:jc w:val="both"/>
        <w:rPr>
          <w:rFonts w:ascii="宋体" w:hAnsi="宋体" w:eastAsia="宋体"/>
          <w:sz w:val="24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1108710</wp:posOffset>
            </wp:positionV>
            <wp:extent cx="5501005" cy="2174240"/>
            <wp:effectExtent l="0" t="0" r="635" b="5080"/>
            <wp:wrapTopAndBottom/>
            <wp:docPr id="6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pacing w:val="-2"/>
          <w:sz w:val="24"/>
        </w:rPr>
        <w:t>单价措施组价操作和分部分项中操作基本一致，同时，在单价措施中也可使</w:t>
      </w:r>
      <w:r>
        <w:rPr>
          <w:rFonts w:hint="eastAsia" w:ascii="宋体" w:hAnsi="宋体" w:eastAsia="宋体"/>
          <w:spacing w:val="-22"/>
          <w:sz w:val="24"/>
        </w:rPr>
        <w:t>用</w:t>
      </w:r>
      <w:r>
        <w:rPr>
          <w:rFonts w:hint="eastAsia" w:ascii="宋体" w:hAnsi="宋体" w:eastAsia="宋体"/>
          <w:b/>
          <w:spacing w:val="-7"/>
          <w:sz w:val="24"/>
        </w:rPr>
        <w:t>“外工程复制”“批量调整清单单价”</w:t>
      </w:r>
      <w:r>
        <w:rPr>
          <w:rFonts w:hint="eastAsia" w:ascii="宋体" w:hAnsi="宋体" w:eastAsia="宋体"/>
          <w:spacing w:val="-4"/>
          <w:sz w:val="24"/>
        </w:rPr>
        <w:t>进行快速组价调价，操作与分部分项中</w:t>
      </w:r>
      <w:r>
        <w:rPr>
          <w:rFonts w:hint="eastAsia" w:ascii="宋体" w:hAnsi="宋体" w:eastAsia="宋体"/>
          <w:sz w:val="24"/>
        </w:rPr>
        <w:t>一致。</w:t>
      </w:r>
    </w:p>
    <w:p>
      <w:pPr>
        <w:spacing w:line="364" w:lineRule="auto"/>
        <w:jc w:val="both"/>
        <w:rPr>
          <w:rFonts w:ascii="宋体" w:hAnsi="宋体" w:eastAsia="宋体"/>
          <w:sz w:val="24"/>
        </w:rPr>
      </w:pPr>
    </w:p>
    <w:p>
      <w:pPr>
        <w:spacing w:line="364" w:lineRule="auto"/>
        <w:jc w:val="both"/>
        <w:rPr>
          <w:rFonts w:ascii="宋体" w:hAnsi="宋体" w:eastAsia="宋体"/>
          <w:sz w:val="24"/>
          <w:lang w:val="en-US"/>
        </w:rPr>
      </w:pPr>
      <w:r>
        <w:rPr>
          <w:rFonts w:hint="eastAsia" w:ascii="宋体" w:hAnsi="宋体" w:eastAsia="宋体"/>
          <w:sz w:val="24"/>
          <w:lang w:val="en-US"/>
        </w:rPr>
        <w:t>单价措施清单特征显示</w:t>
      </w:r>
    </w:p>
    <w:p>
      <w:pPr>
        <w:spacing w:line="364" w:lineRule="auto"/>
        <w:jc w:val="both"/>
        <w:rPr>
          <w:rFonts w:ascii="宋体" w:hAnsi="宋体" w:eastAsia="宋体"/>
          <w:sz w:val="24"/>
          <w:lang w:val="en-US"/>
        </w:rPr>
      </w:pPr>
    </w:p>
    <w:p>
      <w:pPr>
        <w:spacing w:line="364" w:lineRule="auto"/>
        <w:jc w:val="both"/>
        <w:rPr>
          <w:rFonts w:ascii="宋体" w:hAnsi="宋体" w:eastAsia="宋体"/>
          <w:sz w:val="24"/>
          <w:lang w:val="en-US"/>
        </w:rPr>
        <w:sectPr>
          <w:pgSz w:w="11910" w:h="16840"/>
          <w:pgMar w:top="1500" w:right="1560" w:bottom="1160" w:left="1680" w:header="0" w:footer="890" w:gutter="0"/>
          <w:cols w:space="720" w:num="1"/>
        </w:sectPr>
      </w:pPr>
      <w:r>
        <w:drawing>
          <wp:inline distT="0" distB="0" distL="114300" distR="114300">
            <wp:extent cx="5448300" cy="1733550"/>
            <wp:effectExtent l="0" t="0" r="7620" b="3810"/>
            <wp:docPr id="7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3545" cy="4127500"/>
            <wp:effectExtent l="0" t="0" r="13335" b="2540"/>
            <wp:docPr id="7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0" w:name="_Toc31385"/>
      <w:r>
        <w:rPr>
          <w:rFonts w:hint="eastAsia"/>
          <w:lang w:val="en-US"/>
        </w:rPr>
        <w:t>2</w:t>
      </w:r>
      <w:r>
        <w:rPr>
          <w:lang w:val="en-US"/>
        </w:rPr>
        <w:t>.5</w:t>
      </w:r>
      <w:r>
        <w:rPr>
          <w:rFonts w:hint="eastAsia" w:ascii="宋体" w:hAnsi="宋体" w:eastAsia="宋体" w:cs="宋体"/>
        </w:rPr>
        <w:t>人材机调价</w:t>
      </w:r>
      <w:bookmarkEnd w:id="40"/>
    </w:p>
    <w:p>
      <w:pPr>
        <w:ind w:firstLine="480" w:firstLineChars="200"/>
        <w:rPr>
          <w:rFonts w:ascii="宋体" w:eastAsia="宋体"/>
          <w:sz w:val="24"/>
          <w:szCs w:val="24"/>
        </w:rPr>
      </w:pPr>
      <w:bookmarkStart w:id="41" w:name="1.人材机直接修改除税价"/>
      <w:bookmarkEnd w:id="41"/>
      <w:bookmarkStart w:id="42" w:name="_bookmark22"/>
      <w:bookmarkEnd w:id="42"/>
      <w:bookmarkStart w:id="43" w:name="_Toc2429"/>
      <w:r>
        <w:rPr>
          <w:rFonts w:hint="eastAsia" w:ascii="宋体" w:eastAsia="宋体"/>
          <w:sz w:val="24"/>
          <w:szCs w:val="24"/>
        </w:rPr>
        <w:t>1</w:t>
      </w:r>
      <w:r>
        <w:rPr>
          <w:rFonts w:ascii="宋体" w:eastAsia="宋体"/>
          <w:sz w:val="24"/>
          <w:szCs w:val="24"/>
        </w:rPr>
        <w:t>.</w:t>
      </w:r>
      <w:r>
        <w:rPr>
          <w:rFonts w:hint="eastAsia" w:ascii="宋体" w:eastAsia="宋体"/>
          <w:sz w:val="24"/>
          <w:szCs w:val="24"/>
        </w:rPr>
        <w:t>人材机直接修改除税价</w:t>
      </w:r>
      <w:bookmarkEnd w:id="43"/>
    </w:p>
    <w:p>
      <w:pPr>
        <w:pStyle w:val="5"/>
        <w:spacing w:before="160" w:after="18" w:line="364" w:lineRule="auto"/>
        <w:ind w:left="120" w:right="183" w:firstLine="420"/>
        <w:rPr>
          <w:rFonts w:ascii="宋体" w:eastAsia="宋体"/>
        </w:rPr>
      </w:pPr>
      <w:r>
        <w:rPr>
          <w:rFonts w:hint="eastAsia" w:ascii="宋体" w:eastAsia="宋体"/>
        </w:rPr>
        <w:t>在人材机汇总界面选中除税价，可直接输入新的价格，对人材机价格进行调整。</w:t>
      </w:r>
    </w:p>
    <w:p>
      <w:pPr>
        <w:pStyle w:val="5"/>
        <w:ind w:left="252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5066030" cy="2035175"/>
            <wp:effectExtent l="0" t="0" r="8890" b="6985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521" cy="203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72"/>
        <w:rPr>
          <w:rFonts w:ascii="宋体"/>
          <w:sz w:val="20"/>
        </w:rPr>
      </w:pPr>
      <w:bookmarkStart w:id="44" w:name="2.通过Excel表格调整材料价格"/>
      <w:bookmarkEnd w:id="44"/>
      <w:bookmarkStart w:id="45" w:name="_bookmark23"/>
      <w:bookmarkEnd w:id="45"/>
    </w:p>
    <w:p>
      <w:pPr>
        <w:pStyle w:val="5"/>
        <w:rPr>
          <w:rFonts w:ascii="宋体"/>
          <w:sz w:val="14"/>
        </w:rPr>
      </w:pPr>
    </w:p>
    <w:p>
      <w:pPr>
        <w:rPr>
          <w:rFonts w:ascii="宋体"/>
          <w:sz w:val="20"/>
        </w:rPr>
        <w:sectPr>
          <w:footerReference r:id="rId4" w:type="default"/>
          <w:pgSz w:w="11910" w:h="16840"/>
          <w:pgMar w:top="1580" w:right="1560" w:bottom="1160" w:left="1680" w:header="0" w:footer="890" w:gutter="0"/>
          <w:cols w:space="720" w:num="1"/>
        </w:sectPr>
      </w:pPr>
      <w:bookmarkStart w:id="46" w:name="_bookmark24"/>
      <w:bookmarkEnd w:id="46"/>
      <w:bookmarkStart w:id="47" w:name="3.信息价下载"/>
      <w:bookmarkEnd w:id="47"/>
    </w:p>
    <w:p>
      <w:pPr>
        <w:ind w:firstLine="480" w:firstLineChars="200"/>
        <w:rPr>
          <w:rFonts w:ascii="宋体" w:eastAsia="宋体"/>
          <w:sz w:val="24"/>
          <w:szCs w:val="24"/>
        </w:rPr>
      </w:pPr>
      <w:bookmarkStart w:id="48" w:name="_bookmark25"/>
      <w:bookmarkEnd w:id="48"/>
      <w:bookmarkStart w:id="49" w:name="4.人材机价格、消耗量批量一键调整"/>
      <w:bookmarkEnd w:id="49"/>
      <w:bookmarkStart w:id="50" w:name="_Toc19270"/>
      <w:r>
        <w:rPr>
          <w:rFonts w:hint="eastAsia" w:ascii="宋体" w:eastAsia="宋体"/>
          <w:sz w:val="24"/>
          <w:szCs w:val="24"/>
        </w:rPr>
        <w:t>2</w:t>
      </w:r>
      <w:r>
        <w:rPr>
          <w:rFonts w:ascii="宋体" w:eastAsia="宋体"/>
          <w:sz w:val="24"/>
          <w:szCs w:val="24"/>
        </w:rPr>
        <w:t>.</w:t>
      </w:r>
      <w:r>
        <w:rPr>
          <w:rFonts w:hint="eastAsia" w:ascii="宋体" w:eastAsia="宋体"/>
          <w:sz w:val="24"/>
          <w:szCs w:val="24"/>
        </w:rPr>
        <w:t>人材机价格、消耗量批量一键调整</w:t>
      </w:r>
      <w:bookmarkEnd w:id="50"/>
    </w:p>
    <w:p>
      <w:pPr>
        <w:pStyle w:val="5"/>
        <w:spacing w:before="160"/>
        <w:ind w:left="540"/>
        <w:rPr>
          <w:rFonts w:ascii="宋体" w:eastAsia="宋体"/>
        </w:rPr>
      </w:pPr>
      <w:r>
        <w:rPr>
          <w:rFonts w:hint="eastAsia" w:ascii="宋体" w:eastAsia="宋体"/>
        </w:rPr>
        <w:t>在人材机界面可以批量选择材料，对选中材料进行价格消耗量一建调整。</w:t>
      </w:r>
    </w:p>
    <w:p>
      <w:pPr>
        <w:pStyle w:val="5"/>
        <w:spacing w:before="12"/>
        <w:rPr>
          <w:rFonts w:ascii="宋体"/>
          <w:sz w:val="7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1427480</wp:posOffset>
            </wp:positionH>
            <wp:positionV relativeFrom="paragraph">
              <wp:posOffset>89535</wp:posOffset>
            </wp:positionV>
            <wp:extent cx="4648835" cy="1871980"/>
            <wp:effectExtent l="0" t="0" r="14605" b="254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928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56" w:firstLineChars="200"/>
        <w:rPr>
          <w:rFonts w:ascii="宋体" w:eastAsia="宋体"/>
          <w:spacing w:val="-6"/>
          <w:sz w:val="24"/>
          <w:szCs w:val="24"/>
        </w:rPr>
      </w:pPr>
      <w:bookmarkStart w:id="51" w:name="5.强制对应"/>
      <w:bookmarkEnd w:id="51"/>
      <w:bookmarkStart w:id="52" w:name="_bookmark26"/>
      <w:bookmarkEnd w:id="52"/>
      <w:bookmarkStart w:id="53" w:name="_Toc4733"/>
      <w:r>
        <w:rPr>
          <w:rFonts w:hint="eastAsia" w:ascii="宋体" w:eastAsia="宋体"/>
          <w:spacing w:val="-6"/>
          <w:sz w:val="24"/>
          <w:szCs w:val="24"/>
        </w:rPr>
        <w:t>3</w:t>
      </w:r>
      <w:r>
        <w:rPr>
          <w:rFonts w:ascii="宋体" w:eastAsia="宋体"/>
          <w:spacing w:val="-6"/>
          <w:sz w:val="24"/>
          <w:szCs w:val="24"/>
        </w:rPr>
        <w:t>.</w:t>
      </w:r>
      <w:r>
        <w:rPr>
          <w:rFonts w:hint="eastAsia" w:ascii="宋体" w:eastAsia="宋体"/>
          <w:spacing w:val="-6"/>
          <w:sz w:val="24"/>
          <w:szCs w:val="24"/>
        </w:rPr>
        <w:t>强制对应</w:t>
      </w:r>
      <w:bookmarkEnd w:id="53"/>
    </w:p>
    <w:p>
      <w:pPr>
        <w:pStyle w:val="5"/>
        <w:spacing w:before="161" w:line="364" w:lineRule="auto"/>
        <w:ind w:left="120" w:right="117" w:firstLine="480"/>
        <w:rPr>
          <w:rFonts w:ascii="宋体" w:eastAsia="宋体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1612900</wp:posOffset>
            </wp:positionV>
            <wp:extent cx="4683125" cy="1834515"/>
            <wp:effectExtent l="0" t="0" r="10795" b="9525"/>
            <wp:wrapTopAndBottom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408" cy="183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1703705</wp:posOffset>
            </wp:positionH>
            <wp:positionV relativeFrom="paragraph">
              <wp:posOffset>3606800</wp:posOffset>
            </wp:positionV>
            <wp:extent cx="4110355" cy="2377440"/>
            <wp:effectExtent l="0" t="0" r="4445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61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eastAsia="宋体"/>
          <w:spacing w:val="-6"/>
        </w:rPr>
        <w:t>接收招标文件进行组价之后，软件会自动与招标设置材料进行关联，关联的</w:t>
      </w:r>
      <w:r>
        <w:rPr>
          <w:rFonts w:hint="eastAsia" w:ascii="宋体" w:eastAsia="宋体"/>
          <w:spacing w:val="-18"/>
        </w:rPr>
        <w:t xml:space="preserve">条件是材料的编码、名称、规格、单位、单价都与招标材料的一致。如果不一致， </w:t>
      </w:r>
      <w:r>
        <w:rPr>
          <w:rFonts w:hint="eastAsia" w:ascii="宋体" w:eastAsia="宋体"/>
        </w:rPr>
        <w:t>则需要手动进行关联。在人材机汇总-材料界面，点击【招标材料】，界面下方会显示招标文件中的暂估和甲供材料，分别选中上下两个界面需要关联的材料， 点击【强制对应】，确认无误之后点击【确定】即可完成关联。</w:t>
      </w:r>
    </w:p>
    <w:p>
      <w:pPr>
        <w:pStyle w:val="5"/>
        <w:spacing w:before="2"/>
        <w:rPr>
          <w:rFonts w:ascii="宋体"/>
          <w:sz w:val="14"/>
        </w:rPr>
      </w:pPr>
    </w:p>
    <w:p>
      <w:pPr>
        <w:rPr>
          <w:rFonts w:ascii="宋体"/>
          <w:sz w:val="14"/>
        </w:rPr>
        <w:sectPr>
          <w:pgSz w:w="11910" w:h="16840"/>
          <w:pgMar w:top="1460" w:right="1560" w:bottom="1160" w:left="1680" w:header="0" w:footer="890" w:gutter="0"/>
          <w:cols w:space="720" w:num="1"/>
        </w:sectPr>
      </w:pPr>
    </w:p>
    <w:p>
      <w:pPr>
        <w:pStyle w:val="3"/>
        <w:rPr>
          <w:rFonts w:hint="eastAsia"/>
        </w:rPr>
      </w:pPr>
      <w:bookmarkStart w:id="54" w:name="_bookmark28"/>
      <w:bookmarkEnd w:id="54"/>
      <w:bookmarkStart w:id="55" w:name="1.一键调整管理费利润"/>
      <w:bookmarkEnd w:id="55"/>
      <w:bookmarkStart w:id="56" w:name="_Toc20311"/>
      <w:r>
        <w:rPr>
          <w:rFonts w:hint="eastAsia"/>
          <w:lang w:val="en-US"/>
        </w:rPr>
        <w:t>2</w:t>
      </w:r>
      <w:r>
        <w:rPr>
          <w:lang w:val="en-US"/>
        </w:rPr>
        <w:t>.6</w:t>
      </w:r>
      <w:r>
        <w:rPr>
          <w:rFonts w:hint="eastAsia" w:ascii="宋体" w:hAnsi="宋体" w:eastAsia="宋体" w:cs="宋体"/>
        </w:rPr>
        <w:t>项目可控性快速调价</w:t>
      </w:r>
      <w:bookmarkEnd w:id="56"/>
      <w:bookmarkStart w:id="57" w:name="_bookmark31"/>
      <w:bookmarkEnd w:id="57"/>
      <w:bookmarkStart w:id="58" w:name="2.量价费调整"/>
      <w:bookmarkEnd w:id="58"/>
      <w:bookmarkStart w:id="59" w:name="1.项目人材机调价"/>
      <w:bookmarkEnd w:id="59"/>
      <w:bookmarkStart w:id="60" w:name="_bookmark32"/>
      <w:bookmarkEnd w:id="60"/>
    </w:p>
    <w:p>
      <w:pPr>
        <w:pStyle w:val="11"/>
        <w:numPr>
          <w:ilvl w:val="0"/>
          <w:numId w:val="5"/>
        </w:numPr>
        <w:tabs>
          <w:tab w:val="left" w:pos="539"/>
          <w:tab w:val="left" w:pos="540"/>
        </w:tabs>
        <w:spacing w:before="0"/>
        <w:rPr>
          <w:sz w:val="24"/>
        </w:rPr>
      </w:pPr>
      <w:bookmarkStart w:id="61" w:name="3.项目造价一键调整"/>
      <w:bookmarkEnd w:id="61"/>
      <w:bookmarkStart w:id="62" w:name="_bookmark33"/>
      <w:bookmarkEnd w:id="62"/>
      <w:r>
        <w:rPr>
          <w:sz w:val="24"/>
        </w:rPr>
        <w:t>项目造价一键调整</w:t>
      </w:r>
    </w:p>
    <w:p>
      <w:pPr>
        <w:pStyle w:val="5"/>
        <w:spacing w:before="160"/>
        <w:ind w:left="54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在项目菜单栏中，点击</w:t>
      </w:r>
      <w:r>
        <w:rPr>
          <w:rFonts w:hint="eastAsia" w:ascii="宋体" w:hAnsi="宋体" w:eastAsia="宋体"/>
          <w:b/>
        </w:rPr>
        <w:t>“造价调整”</w:t>
      </w:r>
      <w:r>
        <w:rPr>
          <w:rFonts w:hint="eastAsia" w:ascii="宋体" w:hAnsi="宋体" w:eastAsia="宋体"/>
        </w:rPr>
        <w:t>，可对项目工程造价进行可控性的一键</w:t>
      </w:r>
    </w:p>
    <w:p>
      <w:pPr>
        <w:pStyle w:val="5"/>
        <w:spacing w:before="42"/>
        <w:ind w:left="120"/>
        <w:rPr>
          <w:rFonts w:ascii="宋体" w:eastAsia="宋体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1930400</wp:posOffset>
            </wp:positionV>
            <wp:extent cx="5503545" cy="3057525"/>
            <wp:effectExtent l="0" t="0" r="13335" b="5715"/>
            <wp:wrapTopAndBottom/>
            <wp:docPr id="7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340995</wp:posOffset>
            </wp:positionV>
            <wp:extent cx="5501640" cy="1557655"/>
            <wp:effectExtent l="0" t="0" r="0" b="12065"/>
            <wp:wrapTopAndBottom/>
            <wp:docPr id="7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eastAsia="宋体"/>
        </w:rPr>
        <w:t>调整。</w:t>
      </w:r>
    </w:p>
    <w:p>
      <w:pPr>
        <w:rPr>
          <w:rFonts w:ascii="宋体" w:eastAsia="宋体"/>
          <w:lang w:val="en-US"/>
        </w:rPr>
        <w:sectPr>
          <w:pgSz w:w="11910" w:h="16840"/>
          <w:pgMar w:top="1460" w:right="1560" w:bottom="1160" w:left="1680" w:header="0" w:footer="890" w:gutter="0"/>
          <w:cols w:space="720" w:num="1"/>
        </w:sectPr>
      </w:pPr>
      <w:r>
        <w:rPr>
          <w:rFonts w:hint="eastAsia" w:ascii="宋体" w:eastAsia="宋体"/>
          <w:lang w:val="en-US"/>
        </w:rPr>
        <w:t>可直接输入理想总报价或者下浮率，可根据实际情况调整人材机含量或者人材机价格。材料和清单也可根据实际情况进行锁定。</w:t>
      </w:r>
    </w:p>
    <w:p>
      <w:pPr>
        <w:pStyle w:val="3"/>
        <w:rPr>
          <w:lang w:val="en-US"/>
        </w:rPr>
      </w:pPr>
      <w:bookmarkStart w:id="63" w:name="_Toc30907"/>
      <w:r>
        <w:rPr>
          <w:rFonts w:hint="eastAsia"/>
        </w:rPr>
        <w:t>2</w:t>
      </w:r>
      <w:r>
        <w:t>.7</w:t>
      </w:r>
      <w:r>
        <w:rPr>
          <w:rFonts w:hint="eastAsia" w:ascii="宋体" w:hAnsi="宋体" w:eastAsia="宋体" w:cs="宋体"/>
          <w:lang w:val="en-US"/>
        </w:rPr>
        <w:t>生成投标</w:t>
      </w:r>
      <w:r>
        <w:rPr>
          <w:rFonts w:hint="eastAsia"/>
          <w:lang w:val="en-US"/>
        </w:rPr>
        <w:t>-</w:t>
      </w:r>
      <w:r>
        <w:rPr>
          <w:rFonts w:hint="eastAsia" w:ascii="宋体" w:hAnsi="宋体" w:eastAsia="宋体" w:cs="宋体"/>
          <w:lang w:val="en-US"/>
        </w:rPr>
        <w:t>项目自检及符合性检查</w:t>
      </w:r>
      <w:bookmarkEnd w:id="63"/>
    </w:p>
    <w:p>
      <w:pPr>
        <w:rPr>
          <w:rFonts w:eastAsia="Arial"/>
        </w:rPr>
      </w:pPr>
      <w:bookmarkStart w:id="64" w:name="1.控制价对比"/>
      <w:bookmarkEnd w:id="64"/>
      <w:bookmarkStart w:id="65" w:name="_bookmark35"/>
      <w:bookmarkEnd w:id="65"/>
      <w:bookmarkStart w:id="66" w:name="_Toc22118"/>
      <w:r>
        <w:rPr>
          <w:rFonts w:hint="eastAsia" w:ascii="宋体" w:hAnsi="宋体" w:eastAsia="宋体" w:cs="宋体"/>
          <w:lang w:val="en-US"/>
        </w:rPr>
        <w:t>1</w:t>
      </w:r>
      <w:r>
        <w:rPr>
          <w:rFonts w:ascii="宋体" w:hAnsi="宋体" w:eastAsia="宋体" w:cs="宋体"/>
          <w:lang w:val="en-US"/>
        </w:rPr>
        <w:t>.</w:t>
      </w:r>
      <w:r>
        <w:rPr>
          <w:rFonts w:hint="eastAsia" w:ascii="宋体" w:hAnsi="宋体" w:eastAsia="宋体" w:cs="宋体"/>
          <w:lang w:val="en-US"/>
        </w:rPr>
        <w:t>投标信息填写</w:t>
      </w:r>
      <w:bookmarkEnd w:id="66"/>
    </w:p>
    <w:p>
      <w:pPr>
        <w:pStyle w:val="5"/>
        <w:rPr>
          <w:rFonts w:ascii="宋体"/>
          <w:sz w:val="20"/>
        </w:rPr>
      </w:pPr>
      <w:r>
        <w:drawing>
          <wp:inline distT="0" distB="0" distL="114300" distR="114300">
            <wp:extent cx="5503545" cy="2929255"/>
            <wp:effectExtent l="0" t="0" r="13335" b="12065"/>
            <wp:docPr id="7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宋体"/>
          <w:sz w:val="20"/>
        </w:rPr>
      </w:pPr>
    </w:p>
    <w:p>
      <w:pPr>
        <w:pStyle w:val="5"/>
        <w:rPr>
          <w:rFonts w:ascii="宋体"/>
          <w:sz w:val="20"/>
        </w:rPr>
      </w:pPr>
    </w:p>
    <w:p>
      <w:pPr>
        <w:pStyle w:val="5"/>
        <w:spacing w:before="3"/>
        <w:rPr>
          <w:rFonts w:ascii="宋体"/>
          <w:sz w:val="11"/>
        </w:rPr>
      </w:pPr>
    </w:p>
    <w:p/>
    <w:p>
      <w:pPr>
        <w:rPr>
          <w:rFonts w:ascii="Calibri" w:eastAsia="Calibri"/>
          <w:sz w:val="24"/>
        </w:rPr>
      </w:pPr>
      <w:bookmarkStart w:id="67" w:name="_bookmark36"/>
      <w:bookmarkEnd w:id="67"/>
      <w:bookmarkStart w:id="68" w:name="2.更新招标"/>
      <w:bookmarkEnd w:id="68"/>
      <w:bookmarkStart w:id="69" w:name="_bookmark37"/>
      <w:bookmarkEnd w:id="69"/>
      <w:bookmarkStart w:id="70" w:name="3.项目自检"/>
      <w:bookmarkEnd w:id="70"/>
      <w:bookmarkStart w:id="71" w:name="_Toc717"/>
      <w:r>
        <w:rPr>
          <w:rFonts w:hint="eastAsia" w:ascii="宋体" w:hAnsi="宋体" w:eastAsia="宋体" w:cs="宋体"/>
          <w:sz w:val="24"/>
        </w:rPr>
        <w:t>2</w:t>
      </w:r>
      <w:r>
        <w:rPr>
          <w:rFonts w:ascii="宋体" w:hAnsi="宋体" w:eastAsia="宋体" w:cs="宋体"/>
          <w:sz w:val="24"/>
        </w:rPr>
        <w:t>.</w:t>
      </w:r>
      <w:r>
        <w:rPr>
          <w:rFonts w:hint="eastAsia" w:ascii="宋体" w:hAnsi="宋体" w:eastAsia="宋体" w:cs="宋体"/>
          <w:sz w:val="24"/>
        </w:rPr>
        <w:t>项目自检</w:t>
      </w:r>
      <w:bookmarkEnd w:id="71"/>
    </w:p>
    <w:p>
      <w:pPr>
        <w:pStyle w:val="5"/>
        <w:spacing w:before="161" w:line="364" w:lineRule="auto"/>
        <w:ind w:left="120" w:right="232" w:firstLine="420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  <w:spacing w:val="-4"/>
        </w:rPr>
        <w:t>点击</w:t>
      </w:r>
      <w:r>
        <w:rPr>
          <w:rFonts w:hint="eastAsia" w:ascii="宋体" w:hAnsi="宋体" w:eastAsia="宋体"/>
          <w:b/>
          <w:spacing w:val="-2"/>
        </w:rPr>
        <w:t>“项目自检”</w:t>
      </w:r>
      <w:r>
        <w:rPr>
          <w:rFonts w:hint="eastAsia" w:ascii="宋体" w:hAnsi="宋体" w:eastAsia="宋体"/>
          <w:spacing w:val="-6"/>
        </w:rPr>
        <w:t>，软件自动对分部分项清单、措施项、其他项、人材机进</w:t>
      </w:r>
      <w:r>
        <w:rPr>
          <w:rFonts w:hint="eastAsia" w:ascii="宋体" w:hAnsi="宋体" w:eastAsia="宋体"/>
          <w:spacing w:val="-10"/>
        </w:rPr>
        <w:t>行检查，及时发现问题并修改。在生成投标文件时，软件也会自动进行一次项目</w:t>
      </w:r>
      <w:r>
        <w:rPr>
          <w:rFonts w:hint="eastAsia" w:ascii="宋体" w:hAnsi="宋体" w:eastAsia="宋体"/>
        </w:rPr>
        <w:t>自检，防止生成有误的投标清单。</w:t>
      </w:r>
    </w:p>
    <w:p>
      <w:pPr>
        <w:spacing w:line="364" w:lineRule="auto"/>
        <w:jc w:val="both"/>
        <w:rPr>
          <w:rFonts w:ascii="宋体" w:hAnsi="宋体" w:eastAsia="宋体"/>
        </w:rPr>
        <w:sectPr>
          <w:pgSz w:w="11910" w:h="16840"/>
          <w:pgMar w:top="1460" w:right="1560" w:bottom="1160" w:left="1680" w:header="0" w:footer="890" w:gutter="0"/>
          <w:cols w:space="720" w:num="1"/>
        </w:sectPr>
      </w:pPr>
      <w:r>
        <w:drawing>
          <wp:inline distT="0" distB="0" distL="114300" distR="114300">
            <wp:extent cx="5504815" cy="1407160"/>
            <wp:effectExtent l="0" t="0" r="12065" b="10160"/>
            <wp:docPr id="7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1640" cy="3438525"/>
            <wp:effectExtent l="0" t="0" r="0" b="5715"/>
            <wp:docPr id="7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120"/>
        <w:rPr>
          <w:rFonts w:ascii="宋体"/>
          <w:sz w:val="20"/>
        </w:rPr>
      </w:pPr>
    </w:p>
    <w:p>
      <w:pPr>
        <w:rPr>
          <w:rFonts w:ascii="Calibri" w:eastAsia="Calibri"/>
        </w:rPr>
      </w:pPr>
      <w:bookmarkStart w:id="72" w:name="_bookmark38"/>
      <w:bookmarkEnd w:id="72"/>
      <w:bookmarkStart w:id="73" w:name="4.符合性检查"/>
      <w:bookmarkEnd w:id="73"/>
      <w:bookmarkStart w:id="74" w:name="_Toc29842"/>
      <w:r>
        <w:rPr>
          <w:rFonts w:hint="eastAsia" w:ascii="宋体" w:hAnsi="宋体" w:eastAsia="宋体" w:cs="宋体"/>
        </w:rPr>
        <w:t>3</w:t>
      </w:r>
      <w:r>
        <w:rPr>
          <w:rFonts w:ascii="宋体" w:hAnsi="宋体" w:eastAsia="宋体" w:cs="宋体"/>
        </w:rPr>
        <w:t>.</w:t>
      </w:r>
      <w:r>
        <w:rPr>
          <w:rFonts w:hint="eastAsia" w:ascii="宋体" w:hAnsi="宋体" w:eastAsia="宋体" w:cs="宋体"/>
        </w:rPr>
        <w:t>符合性检查</w:t>
      </w:r>
      <w:bookmarkEnd w:id="74"/>
    </w:p>
    <w:p>
      <w:pPr>
        <w:pStyle w:val="5"/>
        <w:spacing w:before="160" w:after="5" w:line="364" w:lineRule="auto"/>
        <w:ind w:left="120" w:right="225" w:firstLine="480"/>
        <w:jc w:val="both"/>
        <w:rPr>
          <w:rFonts w:ascii="宋体" w:eastAsia="宋体"/>
        </w:rPr>
      </w:pPr>
      <w:r>
        <w:rPr>
          <w:rFonts w:hint="eastAsia" w:ascii="宋体" w:eastAsia="宋体"/>
          <w:spacing w:val="-6"/>
        </w:rPr>
        <w:t>在投标清单组价完成之后，需要生成该工程的投标清单，点击菜单栏上</w:t>
      </w:r>
      <w:r>
        <w:rPr>
          <w:rFonts w:hint="eastAsia" w:ascii="宋体" w:eastAsia="宋体"/>
          <w:b/>
          <w:color w:val="FF0000"/>
          <w:u w:val="single" w:color="FF0000"/>
        </w:rPr>
        <w:t>生成</w:t>
      </w:r>
      <w:r>
        <w:rPr>
          <w:rFonts w:hint="eastAsia" w:ascii="宋体" w:eastAsia="宋体"/>
          <w:b/>
          <w:color w:val="FF0000"/>
          <w:spacing w:val="-233"/>
          <w:u w:val="single" w:color="FF0000"/>
        </w:rPr>
        <w:t>投标</w:t>
      </w:r>
      <w:r>
        <w:rPr>
          <w:rFonts w:hint="eastAsia" w:ascii="宋体" w:eastAsia="宋体"/>
        </w:rPr>
        <w:t>,软件会弹出生成投标界面,首先</w:t>
      </w:r>
      <w:r>
        <w:rPr>
          <w:rFonts w:hint="eastAsia" w:ascii="宋体" w:eastAsia="宋体"/>
          <w:b/>
          <w:color w:val="FF0000"/>
          <w:u w:val="single" w:color="FF0000"/>
        </w:rPr>
        <w:t>选择招标文件</w:t>
      </w:r>
      <w:r>
        <w:rPr>
          <w:rFonts w:hint="eastAsia" w:ascii="宋体" w:eastAsia="宋体"/>
        </w:rPr>
        <w:t>,然后把</w:t>
      </w:r>
      <w:r>
        <w:rPr>
          <w:rFonts w:hint="eastAsia" w:ascii="宋体" w:eastAsia="宋体"/>
          <w:b/>
          <w:color w:val="FF0000"/>
          <w:u w:val="single" w:color="FF0000"/>
        </w:rPr>
        <w:t>符合性检查</w:t>
      </w:r>
      <w:r>
        <w:rPr>
          <w:rFonts w:hint="eastAsia" w:ascii="宋体" w:eastAsia="宋体"/>
        </w:rPr>
        <w:t>打上勾，点击</w:t>
      </w:r>
      <w:r>
        <w:rPr>
          <w:rFonts w:hint="eastAsia" w:ascii="宋体" w:eastAsia="宋体"/>
          <w:spacing w:val="-10"/>
        </w:rPr>
        <w:t>开始生成。投标文件生成后</w:t>
      </w:r>
      <w:r>
        <w:rPr>
          <w:rFonts w:hint="eastAsia" w:ascii="宋体" w:eastAsia="宋体"/>
          <w:u w:val="single"/>
        </w:rPr>
        <w:t>软件会自动比对招标清单和你们自己做的投标清单有没有出入</w:t>
      </w:r>
      <w:r>
        <w:rPr>
          <w:rFonts w:hint="eastAsia" w:ascii="宋体" w:eastAsia="宋体"/>
        </w:rPr>
        <w:t>,此模拟和开标后实际清标过程是一样的。</w:t>
      </w:r>
    </w:p>
    <w:p>
      <w:pPr>
        <w:pStyle w:val="5"/>
        <w:ind w:left="120"/>
        <w:rPr>
          <w:rFonts w:hint="eastAsia" w:ascii="宋体" w:eastAsiaTheme="minorEastAsia"/>
          <w:sz w:val="20"/>
        </w:rPr>
        <w:sectPr>
          <w:pgSz w:w="11910" w:h="16840"/>
          <w:pgMar w:top="1440" w:right="1560" w:bottom="1160" w:left="1680" w:header="0" w:footer="890" w:gutter="0"/>
          <w:cols w:space="720" w:num="1"/>
        </w:sectPr>
      </w:pPr>
      <w:r>
        <w:drawing>
          <wp:inline distT="0" distB="0" distL="114300" distR="114300">
            <wp:extent cx="5495925" cy="2401570"/>
            <wp:effectExtent l="0" t="0" r="5715" b="6350"/>
            <wp:docPr id="7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eastAsiaTheme="minorEastAsia"/>
          <w:sz w:val="20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pStyle w:val="7"/>
        <w:jc w:val="left"/>
        <w:rPr>
          <w:rFonts w:hint="default" w:eastAsiaTheme="majorEastAsia"/>
          <w:lang w:val="en-US" w:eastAsia="zh-CN"/>
        </w:rPr>
      </w:pP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导入投标清单到新点投标文件制作软件（苍南版）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投标人将生成的投标清单（格式：hztb）在制作投标文件过程中导入新点投标文件制作软件对应菜单，最后生成投标文件即可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487670" cy="2938780"/>
            <wp:effectExtent l="0" t="0" r="13970" b="2540"/>
            <wp:docPr id="8" name="图片 8" descr="I5B`@K3SQ`O87RQ8Q1`)8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5B`@K3SQ`O87RQ8Q1`)86I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jc w:val="right"/>
        <w:rPr>
          <w:lang w:val="en-US"/>
        </w:rPr>
      </w:pPr>
      <w:r>
        <w:rPr>
          <w:rFonts w:hint="eastAsia"/>
          <w:lang w:val="en-US"/>
        </w:rPr>
        <w:t>新点服务咨询渠道当地销售人员</w:t>
      </w:r>
    </w:p>
    <w:p>
      <w:pPr>
        <w:jc w:val="right"/>
        <w:rPr>
          <w:lang w:val="en-US"/>
        </w:rPr>
      </w:pPr>
    </w:p>
    <w:p>
      <w:pPr>
        <w:jc w:val="right"/>
        <w:rPr>
          <w:lang w:val="en-US"/>
        </w:rPr>
      </w:pPr>
      <w:r>
        <w:rPr>
          <w:rFonts w:hint="eastAsia" w:ascii="宋体" w:eastAsia="宋体"/>
          <w:lang w:val="en-US" w:eastAsia="zh-CN"/>
        </w:rPr>
        <w:t>陆</w:t>
      </w:r>
      <w:r>
        <w:rPr>
          <w:rFonts w:hint="eastAsia" w:ascii="宋体" w:eastAsia="宋体"/>
          <w:lang w:val="en-US"/>
        </w:rPr>
        <w:t xml:space="preserve">工 </w:t>
      </w:r>
      <w:r>
        <w:rPr>
          <w:rFonts w:hint="eastAsia" w:ascii="宋体" w:eastAsia="宋体"/>
          <w:lang w:val="en-US" w:eastAsia="zh-CN"/>
        </w:rPr>
        <w:t>18036431815</w:t>
      </w:r>
      <w:r>
        <w:rPr>
          <w:rFonts w:hint="eastAsia"/>
          <w:lang w:val="en-US"/>
        </w:rPr>
        <w:t>（同微信）</w:t>
      </w:r>
      <w:r>
        <w:rPr>
          <w:rFonts w:hint="eastAsia"/>
          <w:lang w:val="en-US"/>
        </w:rPr>
        <w:tab/>
      </w:r>
      <w:r>
        <w:rPr>
          <w:rFonts w:hint="eastAsia"/>
          <w:lang w:val="en-US"/>
        </w:rPr>
        <w:t>QQ：1066605356</w:t>
      </w:r>
    </w:p>
    <w:p>
      <w:pPr>
        <w:jc w:val="right"/>
        <w:rPr>
          <w:lang w:val="en-US"/>
        </w:rPr>
      </w:pPr>
    </w:p>
    <w:p>
      <w:pPr>
        <w:jc w:val="right"/>
        <w:rPr>
          <w:lang w:val="en-US"/>
        </w:rPr>
      </w:pPr>
      <w:bookmarkStart w:id="75" w:name="_GoBack"/>
      <w:bookmarkEnd w:id="75"/>
      <w:r>
        <w:rPr>
          <w:rFonts w:hint="eastAsia"/>
          <w:lang w:val="en-US"/>
        </w:rPr>
        <w:t>客服电话（QQ）：4008503300</w:t>
      </w:r>
    </w:p>
    <w:p>
      <w:pPr>
        <w:jc w:val="right"/>
        <w:rPr>
          <w:lang w:val="en-US"/>
        </w:rPr>
      </w:pPr>
    </w:p>
    <w:p>
      <w:pPr>
        <w:jc w:val="right"/>
        <w:rPr>
          <w:lang w:val="en-US"/>
        </w:rPr>
      </w:pPr>
      <w:r>
        <w:rPr>
          <w:rFonts w:hint="eastAsia"/>
          <w:lang w:val="en-US"/>
        </w:rPr>
        <w:t>新点知道：https://zhidao.bqpoint.com/</w:t>
      </w:r>
    </w:p>
    <w:p>
      <w:pPr>
        <w:rPr>
          <w:lang w:val="en-US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2"/>
      </w:rPr>
    </w:pPr>
    <w: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3647440</wp:posOffset>
              </wp:positionH>
              <wp:positionV relativeFrom="page">
                <wp:posOffset>9935845</wp:posOffset>
              </wp:positionV>
              <wp:extent cx="263525" cy="1397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5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287.2pt;margin-top:782.35pt;height:11pt;width:20.75pt;mso-position-horizontal-relative:page;mso-position-vertical-relative:page;z-index:-251645952;mso-width-relative:page;mso-height-relative:page;" filled="f" stroked="f" coordsize="21600,21600" o:gfxdata="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8hrp82wAAAA0BAAAPAAAAAAAAAAEAIAAAACIAAABkcnMvZG93bnJldi54bWxQ&#10;SwECFAAUAAAACACHTuJASbsjrbsBAAByAwAADgAAAAAAAAABACAAAAAq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z w:val="18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2"/>
      </w:rPr>
    </w:pPr>
    <w: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3647440</wp:posOffset>
              </wp:positionH>
              <wp:positionV relativeFrom="page">
                <wp:posOffset>9935845</wp:posOffset>
              </wp:positionV>
              <wp:extent cx="263525" cy="139700"/>
              <wp:effectExtent l="0" t="0" r="0" b="0"/>
              <wp:wrapNone/>
              <wp:docPr id="1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5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287.2pt;margin-top:782.35pt;height:11pt;width:20.75pt;mso-position-horizontal-relative:page;mso-position-vertical-relative:page;z-index:-251644928;mso-width-relative:page;mso-height-relative:page;" filled="f" stroked="f" coordsize="21600,21600" o:gfxdata="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8hrp82wAAAA0BAAAPAAAAAAAAAAEAIAAAACIAAABkcnMvZG93bnJldi54bWxQ&#10;SwECFAAUAAAACACHTuJA0AX/x7sBAAByAwAADgAAAAAAAAABACAAAAAq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z w:val="18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540" w:hanging="420"/>
      </w:pPr>
      <w:rPr>
        <w:rFonts w:hint="default" w:ascii="Calibri" w:hAnsi="Calibri" w:eastAsia="Calibri" w:cs="Calibri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52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65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77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90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03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415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28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040" w:hanging="420"/>
      </w:pPr>
      <w:rPr>
        <w:rFonts w:hint="default"/>
        <w:lang w:val="zh-CN" w:eastAsia="zh-CN" w:bidi="zh-CN"/>
      </w:rPr>
    </w:lvl>
  </w:abstractNum>
  <w:abstractNum w:abstractNumId="1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540" w:hanging="420"/>
      </w:pPr>
      <w:rPr>
        <w:rFonts w:hint="default"/>
        <w:w w:val="100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120" w:hanging="423"/>
      </w:pPr>
      <w:rPr>
        <w:rFonts w:hint="default" w:ascii="Calibri" w:hAnsi="Calibri" w:eastAsia="Calibri" w:cs="Calibri"/>
        <w:spacing w:val="-14"/>
        <w:w w:val="99"/>
        <w:sz w:val="24"/>
        <w:szCs w:val="24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960" w:hanging="42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020" w:hanging="42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112" w:hanging="42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204" w:hanging="42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296" w:hanging="42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389" w:hanging="42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481" w:hanging="423"/>
      </w:pPr>
      <w:rPr>
        <w:rFonts w:hint="default"/>
        <w:lang w:val="zh-CN" w:eastAsia="zh-CN" w:bidi="zh-CN"/>
      </w:rPr>
    </w:lvl>
  </w:abstractNum>
  <w:abstractNum w:abstractNumId="2">
    <w:nsid w:val="012A5BF5"/>
    <w:multiLevelType w:val="multilevel"/>
    <w:tmpl w:val="012A5BF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2151F7"/>
    <w:multiLevelType w:val="multilevel"/>
    <w:tmpl w:val="0A2151F7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E386422"/>
    <w:multiLevelType w:val="multilevel"/>
    <w:tmpl w:val="2E386422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065"/>
    <w:rsid w:val="00025065"/>
    <w:rsid w:val="000D32D7"/>
    <w:rsid w:val="00136F08"/>
    <w:rsid w:val="001A6B03"/>
    <w:rsid w:val="002B56DB"/>
    <w:rsid w:val="002E185E"/>
    <w:rsid w:val="00444D79"/>
    <w:rsid w:val="004B05E9"/>
    <w:rsid w:val="004D1888"/>
    <w:rsid w:val="005172F8"/>
    <w:rsid w:val="0051756E"/>
    <w:rsid w:val="00563BDB"/>
    <w:rsid w:val="006345B5"/>
    <w:rsid w:val="006E02B9"/>
    <w:rsid w:val="0077492F"/>
    <w:rsid w:val="007A02DF"/>
    <w:rsid w:val="007C4EE9"/>
    <w:rsid w:val="007E470E"/>
    <w:rsid w:val="00845289"/>
    <w:rsid w:val="00850552"/>
    <w:rsid w:val="00864D5A"/>
    <w:rsid w:val="00866178"/>
    <w:rsid w:val="00A64556"/>
    <w:rsid w:val="00A865A0"/>
    <w:rsid w:val="00AB06E6"/>
    <w:rsid w:val="00B03E1F"/>
    <w:rsid w:val="00BD1B7A"/>
    <w:rsid w:val="00C0745A"/>
    <w:rsid w:val="00C26945"/>
    <w:rsid w:val="00C43BEC"/>
    <w:rsid w:val="00C51D24"/>
    <w:rsid w:val="00C5661B"/>
    <w:rsid w:val="00D0615B"/>
    <w:rsid w:val="00D30255"/>
    <w:rsid w:val="00DA43A5"/>
    <w:rsid w:val="00EC2F89"/>
    <w:rsid w:val="00FC5E75"/>
    <w:rsid w:val="00FF120A"/>
    <w:rsid w:val="1092079E"/>
    <w:rsid w:val="1DA252ED"/>
    <w:rsid w:val="4DD1429F"/>
    <w:rsid w:val="4EEE6AC2"/>
    <w:rsid w:val="55396505"/>
    <w:rsid w:val="5924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4"/>
      <w:szCs w:val="24"/>
    </w:rPr>
  </w:style>
  <w:style w:type="paragraph" w:styleId="6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7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6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1.png"/><Relationship Id="rId59" Type="http://schemas.openxmlformats.org/officeDocument/2006/relationships/customXml" Target="../customXml/item1.xml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2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161</Words>
  <Characters>923</Characters>
  <Lines>7</Lines>
  <Paragraphs>2</Paragraphs>
  <TotalTime>1</TotalTime>
  <ScaleCrop>false</ScaleCrop>
  <LinksUpToDate>false</LinksUpToDate>
  <CharactersWithSpaces>1082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2018-06-13T00:33:00Z</dcterms:created>
  <dc:creator>Administrator</dc:creator>
  <cp:lastModifiedBy>EOU</cp:lastModifiedBy>
  <dcterms:modified xsi:type="dcterms:W3CDTF">2021-09-26T08:11:19Z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EC1EEB798B914967B9AF06595BB519FE</vt:lpwstr>
  </property>
</Properties>
</file>